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280" w:right="980" w:hanging="3272"/>
        <w:spacing w:after="0" w:line="277" w:lineRule="auto"/>
        <w:tabs>
          <w:tab w:leader="none" w:pos="27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740" w:right="960" w:hanging="3732"/>
        <w:spacing w:after="0" w:line="277" w:lineRule="auto"/>
        <w:tabs>
          <w:tab w:leader="none" w:pos="2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Arial" w:cs="Arial" w:eastAsia="Arial" w:hAnsi="Arial"/>
                <w:sz w:val="18"/>
                <w:szCs w:val="18"/>
                <w:color w:val="auto"/>
                <w:w w:val="89"/>
              </w:rPr>
              <w:t>Delaware</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Incorporation or Organization)</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3"/>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4"/>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Title of Each Class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Symbol(s)</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68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2" w:lineRule="exact"/>
        <w:rPr>
          <w:sz w:val="24"/>
          <w:szCs w:val="24"/>
          <w:color w:val="auto"/>
        </w:rPr>
      </w:pPr>
    </w:p>
    <w:p>
      <w:pPr>
        <w:ind w:right="76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Class</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1"/>
              </w:rPr>
              <w:t>Outstanding as of April 30, 2020</w:t>
            </w:r>
          </w:p>
        </w:tc>
      </w:tr>
      <w:tr>
        <w:trPr>
          <w:trHeight w:val="224"/>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54,970,480 shares</w:t>
            </w:r>
          </w:p>
        </w:tc>
      </w:tr>
      <w:tr>
        <w:trPr>
          <w:trHeight w:val="310"/>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56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rPr>
              <w:t>RYMAN HOSPITALITY PROPERTIES, INC.</w:t>
            </w:r>
          </w:p>
        </w:tc>
        <w:tc>
          <w:tcPr>
            <w:tcW w:w="780" w:type="dxa"/>
            <w:vAlign w:val="bottom"/>
          </w:tcPr>
          <w:p>
            <w:pPr>
              <w:spacing w:after="0"/>
              <w:rPr>
                <w:sz w:val="20"/>
                <w:szCs w:val="20"/>
                <w:color w:val="auto"/>
              </w:rPr>
            </w:pPr>
          </w:p>
        </w:tc>
      </w:tr>
      <w:tr>
        <w:trPr>
          <w:trHeight w:val="405"/>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w w:val="93"/>
              </w:rPr>
              <w:t>For the Quarter Ended March 31, 2020</w:t>
            </w:r>
          </w:p>
        </w:tc>
        <w:tc>
          <w:tcPr>
            <w:tcW w:w="78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405"/>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425"/>
        </w:trPr>
        <w:tc>
          <w:tcPr>
            <w:tcW w:w="812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391"/>
        </w:trPr>
        <w:tc>
          <w:tcPr>
            <w:tcW w:w="1200" w:type="dxa"/>
            <w:vAlign w:val="bottom"/>
          </w:tcPr>
          <w:p>
            <w:pPr>
              <w:spacing w:after="0"/>
              <w:rPr>
                <w:sz w:val="24"/>
                <w:szCs w:val="24"/>
                <w:color w:val="auto"/>
              </w:rPr>
            </w:pPr>
          </w:p>
        </w:tc>
        <w:tc>
          <w:tcPr>
            <w:tcW w:w="65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March 31, 2020 and December 31,</w:t>
              </w:r>
            </w:hyperlink>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2019</w:t>
              </w:r>
            </w:hyperlink>
          </w:p>
        </w:tc>
        <w:tc>
          <w:tcPr>
            <w:tcW w:w="2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412"/>
        </w:trPr>
        <w:tc>
          <w:tcPr>
            <w:tcW w:w="120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780" w:type="dxa"/>
            <w:vAlign w:val="bottom"/>
          </w:tcPr>
          <w:p>
            <w:pPr>
              <w:spacing w:after="0"/>
              <w:rPr>
                <w:sz w:val="24"/>
                <w:szCs w:val="24"/>
                <w:color w:val="auto"/>
              </w:rPr>
            </w:pPr>
          </w:p>
        </w:tc>
      </w:tr>
      <w:tr>
        <w:trPr>
          <w:trHeight w:val="237"/>
        </w:trPr>
        <w:tc>
          <w:tcPr>
            <w:tcW w:w="1200" w:type="dxa"/>
            <w:vAlign w:val="bottom"/>
          </w:tcPr>
          <w:p>
            <w:pPr>
              <w:spacing w:after="0"/>
              <w:rPr>
                <w:sz w:val="20"/>
                <w:szCs w:val="20"/>
                <w:color w:val="auto"/>
              </w:rPr>
            </w:pPr>
          </w:p>
        </w:tc>
        <w:tc>
          <w:tcPr>
            <w:tcW w:w="57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 For the Three Months Ended March 31, 2020 and 2019</w:t>
              </w:r>
            </w:hyperlink>
          </w:p>
        </w:tc>
        <w:tc>
          <w:tcPr>
            <w:tcW w:w="1200" w:type="dxa"/>
            <w:vAlign w:val="bottom"/>
            <w:gridSpan w:val="4"/>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391"/>
        </w:trPr>
        <w:tc>
          <w:tcPr>
            <w:tcW w:w="1200" w:type="dxa"/>
            <w:vAlign w:val="bottom"/>
          </w:tcPr>
          <w:p>
            <w:pPr>
              <w:spacing w:after="0"/>
              <w:rPr>
                <w:sz w:val="24"/>
                <w:szCs w:val="24"/>
                <w:color w:val="auto"/>
              </w:rPr>
            </w:pPr>
          </w:p>
        </w:tc>
        <w:tc>
          <w:tcPr>
            <w:tcW w:w="63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For the Three Months</w:t>
              </w:r>
            </w:hyperlink>
          </w:p>
        </w:tc>
        <w:tc>
          <w:tcPr>
            <w:tcW w:w="5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March 31, 2020 and 2019</w:t>
              </w:r>
            </w:hyperlink>
          </w:p>
        </w:tc>
        <w:tc>
          <w:tcPr>
            <w:tcW w:w="4560" w:type="dxa"/>
            <w:vAlign w:val="bottom"/>
            <w:gridSpan w:val="6"/>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120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Stockholders’ Equity and Noncontrolling Interest</w:t>
              </w:r>
            </w:hyperlink>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 For the Three Months Ended March 31, 2020 and 2019</w:t>
              </w:r>
            </w:hyperlink>
          </w:p>
        </w:tc>
        <w:tc>
          <w:tcPr>
            <w:tcW w:w="1420" w:type="dxa"/>
            <w:vAlign w:val="bottom"/>
            <w:tcBorders>
              <w:top w:val="single" w:sz="8" w:color="0000EE"/>
            </w:tcBorders>
            <w:gridSpan w:val="3"/>
          </w:tcPr>
          <w:p>
            <w:pPr>
              <w:spacing w:after="0"/>
              <w:rPr>
                <w:sz w:val="17"/>
                <w:szCs w:val="17"/>
                <w:color w:val="auto"/>
              </w:rPr>
            </w:pPr>
          </w:p>
        </w:tc>
        <w:tc>
          <w:tcPr>
            <w:tcW w:w="50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453"/>
        </w:trPr>
        <w:tc>
          <w:tcPr>
            <w:tcW w:w="120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w w:val="96"/>
              </w:rPr>
            </w:pPr>
            <w:hyperlink w:anchor="page27">
              <w:r>
                <w:rPr>
                  <w:rFonts w:ascii="Arial" w:cs="Arial" w:eastAsia="Arial" w:hAnsi="Arial"/>
                  <w:sz w:val="18"/>
                  <w:szCs w:val="18"/>
                  <w:u w:val="single" w:color="auto"/>
                  <w:color w:val="0000EE"/>
                  <w:w w:val="96"/>
                </w:rPr>
                <w:t>Item 2.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3. Quantitative and Qualitative Disclosures About Market Risk.</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4. Controls and Procedures.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32"/>
        </w:trPr>
        <w:tc>
          <w:tcPr>
            <w:tcW w:w="8120" w:type="dxa"/>
            <w:vAlign w:val="bottom"/>
            <w:gridSpan w:val="9"/>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Part II - Other Information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1. Legal Proceedings.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1A. Risk Factors.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2. Unregistered Sales of Equity Securities and Use of Proceeds.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3. Defaults Upon Senior Securities.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4. Mine Safety Disclosures.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32"/>
        </w:trPr>
        <w:tc>
          <w:tcPr>
            <w:tcW w:w="8120" w:type="dxa"/>
            <w:vAlign w:val="bottom"/>
            <w:gridSpan w:val="9"/>
          </w:tcPr>
          <w:p>
            <w:pPr>
              <w:ind w:left="6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5. Other Information.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32"/>
        </w:trPr>
        <w:tc>
          <w:tcPr>
            <w:tcW w:w="8120" w:type="dxa"/>
            <w:vAlign w:val="bottom"/>
            <w:gridSpan w:val="9"/>
          </w:tcPr>
          <w:p>
            <w:pPr>
              <w:ind w:left="640"/>
              <w:spacing w:after="0"/>
              <w:rPr>
                <w:rFonts w:ascii="Arial" w:cs="Arial" w:eastAsia="Arial" w:hAnsi="Arial"/>
                <w:sz w:val="18"/>
                <w:szCs w:val="18"/>
                <w:color w:val="0000EE"/>
              </w:rPr>
            </w:pPr>
            <w:hyperlink w:anchor="page53">
              <w:r>
                <w:rPr>
                  <w:rFonts w:ascii="Arial" w:cs="Arial" w:eastAsia="Arial" w:hAnsi="Arial"/>
                  <w:sz w:val="18"/>
                  <w:szCs w:val="18"/>
                  <w:u w:val="single" w:color="auto"/>
                  <w:color w:val="0000EE"/>
                </w:rPr>
                <w:t>Item 6. Exhibits</w:t>
              </w:r>
              <w:r>
                <w:rPr>
                  <w:rFonts w:ascii="Arial" w:cs="Arial" w:eastAsia="Arial" w:hAnsi="Arial"/>
                  <w:sz w:val="18"/>
                  <w:szCs w:val="18"/>
                  <w:color w:val="0000EE"/>
                </w:rPr>
                <w:t>.</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32"/>
        </w:trPr>
        <w:tc>
          <w:tcPr>
            <w:tcW w:w="8120" w:type="dxa"/>
            <w:vAlign w:val="bottom"/>
            <w:gridSpan w:val="9"/>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SIGNATURES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11"/>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980" w:type="dxa"/>
            <w:vAlign w:val="bottom"/>
            <w:gridSpan w:val="2"/>
          </w:tcPr>
          <w:p>
            <w:pPr>
              <w:jc w:val="right"/>
              <w:ind w:right="11"/>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w w:val="98"/>
              </w:rPr>
              <w:t>Property and equipment, net of accumulated depreciation (including $969,130 and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$979,012 from VIEs,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3,129,977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3,130,252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Cash and cash equivalents - unrestricted (including $22,072 and $33,772 from VIEs,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662,156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Cash and cash equivalents - restricted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receivable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w w:val="94"/>
              </w:rPr>
              <w:t>Trade receivables, less credit loss reserve of $1,155 and $828, respectively (including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$20,688 and $16,523 from VIEs, 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assets,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rPr>
              <w:t>Prepaid expenses and other assets (including $32,247 and $27,888 from VIEs,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Intangible assets (including $192,366 and $202,366 from VIEs, respectively)</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197,080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4,344,802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4,088,468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LIABILITIES AND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Debt and finance lease obligations (including $793,174 and $792,696 from VIEs,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2,951,888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2,559,968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80"/>
              <w:spacing w:after="0" w:line="201" w:lineRule="exact"/>
              <w:rPr>
                <w:sz w:val="20"/>
                <w:szCs w:val="20"/>
                <w:color w:val="auto"/>
              </w:rPr>
            </w:pPr>
            <w:r>
              <w:rPr>
                <w:rFonts w:ascii="Arial" w:cs="Arial" w:eastAsia="Arial" w:hAnsi="Arial"/>
                <w:sz w:val="18"/>
                <w:szCs w:val="18"/>
                <w:color w:val="auto"/>
                <w:w w:val="96"/>
              </w:rPr>
              <w:t>Accounts payable and accrued liabilities (including $44,818 and $57,590 from VIEs,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240,313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Deferred management rights proceeds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174,558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 (including $24,887 and $2,174 from VIEs, respectively)</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3,621,755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3,222,228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Noncontrolling interest in consolidated joint venture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200"/>
              <w:spacing w:after="0" w:line="201" w:lineRule="exact"/>
              <w:rPr>
                <w:sz w:val="20"/>
                <w:szCs w:val="20"/>
                <w:color w:val="auto"/>
              </w:rPr>
            </w:pPr>
            <w:r>
              <w:rPr>
                <w:rFonts w:ascii="Arial" w:cs="Arial" w:eastAsia="Arial" w:hAnsi="Arial"/>
                <w:sz w:val="18"/>
                <w:szCs w:val="18"/>
                <w:color w:val="auto"/>
                <w:w w:val="99"/>
              </w:rPr>
              <w:t>Preferred stock, $.01 par value, 100,000 shares authorized, no shares issued or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$.01 par value, 400,000 shares authorized, 54,970 and 54,897 shares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respectively</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1,185,885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1,185,168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of 626 and 619 shares, at cost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(545,104)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4,344,802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4,088,468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1" w:lineRule="auto"/>
        <w:rPr>
          <w:sz w:val="20"/>
          <w:szCs w:val="20"/>
          <w:color w:val="auto"/>
        </w:rPr>
      </w:pPr>
      <w:r>
        <w:rPr>
          <w:rFonts w:ascii="Arial" w:cs="Arial" w:eastAsia="Arial" w:hAnsi="Arial"/>
          <w:sz w:val="17"/>
          <w:szCs w:val="17"/>
          <w:b w:val="1"/>
          <w:bCs w:val="1"/>
          <w:color w:val="auto"/>
        </w:rPr>
        <w:t>RYMAN HOSPITALITY PROPERTIES, INC. AND SUBSIDIARIES CONDENSED CONSOLIDATED STATEMENTS OF OPERATIONS AND COMPREHENSIVE INCOME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Three Months Ended</w:t>
      </w:r>
    </w:p>
    <w:p>
      <w:pPr>
        <w:ind w:left="73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7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Arial" w:cs="Arial" w:eastAsia="Arial" w:hAnsi="Arial"/>
                <w:sz w:val="16"/>
                <w:szCs w:val="16"/>
                <w:color w:val="auto"/>
              </w:rPr>
              <w:t>Rooms</w:t>
            </w:r>
          </w:p>
        </w:tc>
        <w:tc>
          <w:tcPr>
            <w:tcW w:w="9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106,128</w:t>
            </w:r>
          </w:p>
        </w:tc>
        <w:tc>
          <w:tcPr>
            <w:tcW w:w="20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132,212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145,750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171,143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34,155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313,030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370,775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Operating expenses: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83,811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91,359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Management fees, net</w:t>
            </w: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hotel operating expenses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212,085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Arial" w:cs="Arial" w:eastAsia="Arial" w:hAnsi="Arial"/>
                <w:sz w:val="16"/>
                <w:szCs w:val="16"/>
                <w:color w:val="auto"/>
              </w:rPr>
              <w:t>Entertainment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Arial" w:cs="Arial" w:eastAsia="Arial" w:hAnsi="Arial"/>
                <w:sz w:val="16"/>
                <w:szCs w:val="16"/>
                <w:color w:val="auto"/>
              </w:rPr>
              <w:t>Preopening costs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sale of assets</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80" w:type="dxa"/>
            <w:vAlign w:val="bottom"/>
          </w:tcPr>
          <w:p>
            <w:pPr>
              <w:ind w:left="100"/>
              <w:spacing w:after="0"/>
              <w:rPr>
                <w:sz w:val="20"/>
                <w:szCs w:val="20"/>
                <w:color w:val="auto"/>
              </w:rPr>
            </w:pPr>
            <w:r>
              <w:rPr>
                <w:rFonts w:ascii="Arial" w:cs="Arial" w:eastAsia="Arial" w:hAnsi="Arial"/>
                <w:sz w:val="16"/>
                <w:szCs w:val="16"/>
                <w:color w:val="auto"/>
              </w:rPr>
              <w:t>Credit loss on held-to-maturity securities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53,345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53,009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308,280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316,811</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Operating income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Interest income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Loss from unconsolidated joint ventures</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gains and (losses), net</w:t>
            </w: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(loss) before income taxes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(50,736)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22,670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 in consolidated joint venture</w:t>
            </w: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(loss) available to common stockholders</w:t>
            </w: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(46,516)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29,408</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Basic income (loss) per share available to common stockholders</w:t>
            </w:r>
          </w:p>
        </w:tc>
        <w:tc>
          <w:tcPr>
            <w:tcW w:w="9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Diluted income (loss) per share available to common stockholders</w:t>
            </w: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tcBorders>
              <w:bottom w:val="single" w:sz="8" w:color="CCEEFF"/>
            </w:tcBorders>
            <w:vMerge w:val="continue"/>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Comprehensive income (loss), net of taxes</w:t>
            </w:r>
          </w:p>
        </w:tc>
        <w:tc>
          <w:tcPr>
            <w:tcW w:w="9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(88,173)</w:t>
            </w:r>
          </w:p>
        </w:tc>
        <w:tc>
          <w:tcPr>
            <w:tcW w:w="20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22,779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 net of taxes, attributable to noncontrolling interest</w:t>
            </w:r>
          </w:p>
        </w:tc>
        <w:tc>
          <w:tcPr>
            <w:tcW w:w="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20"/>
                <w:szCs w:val="20"/>
                <w:color w:val="auto"/>
              </w:rPr>
            </w:pPr>
            <w:r>
              <w:rPr>
                <w:rFonts w:ascii="Arial" w:cs="Arial" w:eastAsia="Arial" w:hAnsi="Arial"/>
                <w:sz w:val="16"/>
                <w:szCs w:val="16"/>
                <w:color w:val="auto"/>
              </w:rPr>
              <w:t>Comprehensive income (loss), net of taxes, available to common stockholders</w:t>
            </w:r>
          </w:p>
        </w:tc>
        <w:tc>
          <w:tcPr>
            <w:tcW w:w="74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(75,344)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Net income (loss)</w:t>
            </w:r>
          </w:p>
        </w:tc>
        <w:tc>
          <w:tcPr>
            <w:tcW w:w="74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(50,736)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22,670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Amounts to reconcile net income (loss) to net cash flows provided by operating activities: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26,559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1,100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53,345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53,009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1,894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1,927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Credit loss on held-to-maturity securities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5,828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Loss from unconsolidated joint ventures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1,895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2,230</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Changes in:</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(8,345)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(42,050)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(26,297)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17,632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5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(1,702)</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(1,754)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operating activities</w:t>
            </w:r>
          </w:p>
        </w:tc>
        <w:tc>
          <w:tcPr>
            <w:tcW w:w="5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4,671</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54,560</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(43,168)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(48,873)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Investment in other joint ventures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(3,090)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investing activities</w:t>
            </w:r>
          </w:p>
        </w:tc>
        <w:tc>
          <w:tcPr>
            <w:tcW w:w="5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1,004</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5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(45,254)</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(49,102)</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Net borrowings under revolving credit facility</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(1,250)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Borrowing under Gaylord Rockies construction and mezzanine loans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28,897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(50,078)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(44,420)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(1,631)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(3,813)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financing activities</w:t>
            </w:r>
          </w:p>
        </w:tc>
        <w:tc>
          <w:tcPr>
            <w:tcW w:w="5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(91)</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1,605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(used in) financing activities</w:t>
            </w:r>
          </w:p>
        </w:tc>
        <w:tc>
          <w:tcPr>
            <w:tcW w:w="5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346,844</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(7,731)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306,261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(2,273)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5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420,396</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149,089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60" w:type="dxa"/>
            <w:vAlign w:val="bottom"/>
            <w:gridSpan w:val="2"/>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6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726,657</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146,816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7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662,156</w:t>
            </w:r>
          </w:p>
        </w:tc>
        <w:tc>
          <w:tcPr>
            <w:tcW w:w="460" w:type="dxa"/>
            <w:vAlign w:val="bottom"/>
            <w:gridSpan w:val="2"/>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94,873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64,501</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51,943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726,657</w:t>
            </w:r>
          </w:p>
        </w:tc>
        <w:tc>
          <w:tcPr>
            <w:tcW w:w="2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146,816</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AND NONCONTROLLING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700" w:type="dxa"/>
            <w:vAlign w:val="bottom"/>
          </w:tcPr>
          <w:p>
            <w:pPr>
              <w:spacing w:after="0"/>
              <w:rPr>
                <w:sz w:val="12"/>
                <w:szCs w:val="12"/>
                <w:color w:val="auto"/>
              </w:rPr>
            </w:pPr>
          </w:p>
        </w:tc>
        <w:tc>
          <w:tcPr>
            <w:tcW w:w="700" w:type="dxa"/>
            <w:vAlign w:val="bottom"/>
            <w:gridSpan w:val="4"/>
          </w:tcPr>
          <w:p>
            <w:pPr>
              <w:ind w:left="2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2"/>
                <w:szCs w:val="12"/>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Treasury</w:t>
            </w:r>
          </w:p>
        </w:tc>
        <w:tc>
          <w:tcPr>
            <w:tcW w:w="900" w:type="dxa"/>
            <w:vAlign w:val="bottom"/>
            <w:gridSpan w:val="5"/>
          </w:tcPr>
          <w:p>
            <w:pPr>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Comprehensive</w:t>
            </w:r>
          </w:p>
        </w:tc>
        <w:tc>
          <w:tcPr>
            <w:tcW w:w="940" w:type="dxa"/>
            <w:vAlign w:val="bottom"/>
            <w:gridSpan w:val="5"/>
          </w:tcPr>
          <w:p>
            <w:pPr>
              <w:ind w:left="20"/>
              <w:spacing w:after="0"/>
              <w:rPr>
                <w:sz w:val="20"/>
                <w:szCs w:val="20"/>
                <w:color w:val="auto"/>
              </w:rPr>
            </w:pPr>
            <w:r>
              <w:rPr>
                <w:rFonts w:ascii="Arial" w:cs="Arial" w:eastAsia="Arial" w:hAnsi="Arial"/>
                <w:sz w:val="13"/>
                <w:szCs w:val="13"/>
                <w:b w:val="1"/>
                <w:bCs w:val="1"/>
                <w:color w:val="auto"/>
              </w:rPr>
              <w:t>Stockholders'</w:t>
            </w:r>
          </w:p>
        </w:tc>
        <w:tc>
          <w:tcPr>
            <w:tcW w:w="2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2"/>
              </w:rPr>
              <w:t>Noncontrolling</w:t>
            </w:r>
          </w:p>
        </w:tc>
      </w:tr>
      <w:tr>
        <w:trPr>
          <w:trHeight w:val="161"/>
        </w:trPr>
        <w:tc>
          <w:tcPr>
            <w:tcW w:w="270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44"/>
              <w:spacing w:after="0"/>
              <w:rPr>
                <w:sz w:val="20"/>
                <w:szCs w:val="20"/>
                <w:color w:val="auto"/>
              </w:rPr>
            </w:pPr>
            <w:r>
              <w:rPr>
                <w:rFonts w:ascii="Arial" w:cs="Arial" w:eastAsia="Arial" w:hAnsi="Arial"/>
                <w:sz w:val="13"/>
                <w:szCs w:val="13"/>
                <w:b w:val="1"/>
                <w:bCs w:val="1"/>
                <w:color w:val="auto"/>
              </w:rPr>
              <w:t>Interest</w:t>
            </w:r>
          </w:p>
        </w:tc>
      </w:tr>
      <w:tr>
        <w:trPr>
          <w:trHeight w:val="156"/>
        </w:trPr>
        <w:tc>
          <w:tcPr>
            <w:tcW w:w="2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BALANCE, December 31, 2019</w:t>
            </w:r>
          </w:p>
        </w:tc>
        <w:tc>
          <w:tcPr>
            <w:tcW w:w="12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5"/>
              </w:rPr>
              <w:t>$</w:t>
            </w: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549</w:t>
            </w:r>
          </w:p>
        </w:tc>
        <w:tc>
          <w:tcPr>
            <w:tcW w:w="1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0"/>
              </w:rPr>
              <w:t>$ 1,185,168</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(17,315)</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(495,514)</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(28,159)</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644,729</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221,511</w:t>
            </w:r>
          </w:p>
        </w:tc>
      </w:tr>
      <w:tr>
        <w:trPr>
          <w:trHeight w:val="162"/>
        </w:trPr>
        <w:tc>
          <w:tcPr>
            <w:tcW w:w="2700" w:type="dxa"/>
            <w:vAlign w:val="bottom"/>
          </w:tcPr>
          <w:p>
            <w:pPr>
              <w:ind w:left="120"/>
              <w:spacing w:after="0" w:line="162" w:lineRule="exact"/>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8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(46,516)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(46,516)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(4,220)</w:t>
            </w:r>
          </w:p>
        </w:tc>
      </w:tr>
      <w:tr>
        <w:trPr>
          <w:trHeight w:val="149"/>
        </w:trPr>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Adjustment of noncontrolling interest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5"/>
        </w:trPr>
        <w:tc>
          <w:tcPr>
            <w:tcW w:w="2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 redemption value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54,265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54,265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(54,265)</w:t>
            </w:r>
          </w:p>
        </w:tc>
      </w:tr>
      <w:tr>
        <w:trPr>
          <w:trHeight w:val="149"/>
        </w:trPr>
        <w:tc>
          <w:tcPr>
            <w:tcW w:w="2700" w:type="dxa"/>
            <w:vAlign w:val="bottom"/>
          </w:tcPr>
          <w:p>
            <w:pPr>
              <w:ind w:left="120"/>
              <w:spacing w:after="0" w:line="149" w:lineRule="exact"/>
              <w:rPr>
                <w:sz w:val="20"/>
                <w:szCs w:val="20"/>
                <w:color w:val="auto"/>
              </w:rPr>
            </w:pPr>
            <w:r>
              <w:rPr>
                <w:rFonts w:ascii="Arial" w:cs="Arial" w:eastAsia="Arial" w:hAnsi="Arial"/>
                <w:sz w:val="15"/>
                <w:szCs w:val="15"/>
                <w:color w:val="auto"/>
              </w:rPr>
              <w:t>Transition adjustment related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adoption of ASU 2016-13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(5,343)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2,158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(3,185)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49"/>
        </w:trPr>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Other comprehensive loss, net of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5"/>
        </w:trPr>
        <w:tc>
          <w:tcPr>
            <w:tcW w:w="2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taxes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(37,437)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(37,437)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62"/>
        </w:trPr>
        <w:tc>
          <w:tcPr>
            <w:tcW w:w="2700" w:type="dxa"/>
            <w:vAlign w:val="bottom"/>
          </w:tcPr>
          <w:p>
            <w:pPr>
              <w:ind w:left="120"/>
              <w:spacing w:after="0" w:line="162" w:lineRule="exact"/>
              <w:rPr>
                <w:sz w:val="20"/>
                <w:szCs w:val="20"/>
                <w:color w:val="auto"/>
              </w:rPr>
            </w:pPr>
            <w:r>
              <w:rPr>
                <w:rFonts w:ascii="Arial" w:cs="Arial" w:eastAsia="Arial" w:hAnsi="Arial"/>
                <w:sz w:val="15"/>
                <w:szCs w:val="15"/>
                <w:color w:val="auto"/>
                <w:w w:val="97"/>
              </w:rPr>
              <w:t>Payment of dividends ($0.95 per 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147</w:t>
            </w:r>
          </w:p>
        </w:tc>
        <w:tc>
          <w:tcPr>
            <w:tcW w:w="120" w:type="dxa"/>
            <w:vAlign w:val="bottom"/>
          </w:tcPr>
          <w:p>
            <w:pPr>
              <w:spacing w:after="0"/>
              <w:rPr>
                <w:sz w:val="14"/>
                <w:szCs w:val="14"/>
                <w:color w:val="auto"/>
              </w:rPr>
            </w:pPr>
          </w:p>
        </w:tc>
        <w:tc>
          <w:tcPr>
            <w:tcW w:w="68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(557)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(51,996)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(52,406)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49"/>
        </w:trPr>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w w:val="97"/>
              </w:rPr>
              <w:t>Restricted stock units and stock options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5"/>
        </w:trPr>
        <w:tc>
          <w:tcPr>
            <w:tcW w:w="2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surrendered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(1,659)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62"/>
        </w:trPr>
        <w:tc>
          <w:tcPr>
            <w:tcW w:w="270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2,230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56"/>
        </w:trPr>
        <w:tc>
          <w:tcPr>
            <w:tcW w:w="27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BALANCE, March 31, 2020</w:t>
            </w:r>
          </w:p>
        </w:tc>
        <w:tc>
          <w:tcPr>
            <w:tcW w:w="120" w:type="dxa"/>
            <w:vAlign w:val="bottom"/>
            <w:tcBorders>
              <w:top w:val="single" w:sz="8" w:color="auto"/>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5"/>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550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0"/>
              </w:rPr>
              <w:t>$ 1,185,885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(17,872)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(545,104)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(63,438)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560,021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163,026</w:t>
            </w: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46"/>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2"/>
                <w:szCs w:val="12"/>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Treasury</w:t>
            </w:r>
          </w:p>
        </w:tc>
        <w:tc>
          <w:tcPr>
            <w:tcW w:w="2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2"/>
                <w:szCs w:val="12"/>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2"/>
                <w:szCs w:val="12"/>
                <w:color w:val="auto"/>
              </w:rPr>
            </w:pPr>
          </w:p>
        </w:tc>
        <w:tc>
          <w:tcPr>
            <w:tcW w:w="920" w:type="dxa"/>
            <w:vAlign w:val="bottom"/>
            <w:gridSpan w:val="4"/>
          </w:tcPr>
          <w:p>
            <w:pPr>
              <w:spacing w:after="0"/>
              <w:rPr>
                <w:sz w:val="20"/>
                <w:szCs w:val="20"/>
                <w:color w:val="auto"/>
              </w:rPr>
            </w:pPr>
            <w:r>
              <w:rPr>
                <w:rFonts w:ascii="Arial" w:cs="Arial" w:eastAsia="Arial" w:hAnsi="Arial"/>
                <w:sz w:val="13"/>
                <w:szCs w:val="13"/>
                <w:b w:val="1"/>
                <w:bCs w:val="1"/>
                <w:color w:val="auto"/>
              </w:rPr>
              <w:t>Stockholders'</w:t>
            </w:r>
          </w:p>
        </w:tc>
        <w:tc>
          <w:tcPr>
            <w:tcW w:w="2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2"/>
              </w:rPr>
              <w:t>Noncontrolling</w:t>
            </w:r>
          </w:p>
        </w:tc>
      </w:t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Capital</w:t>
            </w:r>
          </w:p>
        </w:tc>
        <w:tc>
          <w:tcPr>
            <w:tcW w:w="2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44"/>
              <w:spacing w:after="0"/>
              <w:rPr>
                <w:sz w:val="20"/>
                <w:szCs w:val="20"/>
                <w:color w:val="auto"/>
              </w:rPr>
            </w:pPr>
            <w:r>
              <w:rPr>
                <w:rFonts w:ascii="Arial" w:cs="Arial" w:eastAsia="Arial" w:hAnsi="Arial"/>
                <w:sz w:val="13"/>
                <w:szCs w:val="13"/>
                <w:b w:val="1"/>
                <w:bCs w:val="1"/>
                <w:color w:val="auto"/>
              </w:rPr>
              <w:t>Interest</w:t>
            </w:r>
          </w:p>
        </w:tc>
      </w:tr>
      <w:tr>
        <w:trPr>
          <w:trHeight w:val="155"/>
        </w:trPr>
        <w:tc>
          <w:tcPr>
            <w:tcW w:w="2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BALANCE, December 31, 2018</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513</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9"/>
              </w:rPr>
              <w:t>$ 900,795</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(15,183)</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(388,524)</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shd w:val="clear" w:color="auto" w:fill="CCEEFF"/>
          </w:tcPr>
          <w:p>
            <w:pPr>
              <w:jc w:val="right"/>
              <w:ind w:right="20"/>
              <w:spacing w:after="0" w:line="156" w:lineRule="exact"/>
              <w:rPr>
                <w:sz w:val="20"/>
                <w:szCs w:val="20"/>
                <w:color w:val="auto"/>
              </w:rPr>
            </w:pPr>
            <w:r>
              <w:rPr>
                <w:rFonts w:ascii="Arial" w:cs="Arial" w:eastAsia="Arial" w:hAnsi="Arial"/>
                <w:sz w:val="15"/>
                <w:szCs w:val="15"/>
                <w:color w:val="auto"/>
              </w:rPr>
              <w:t>(28,024)</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469,577</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287,433</w:t>
            </w:r>
          </w:p>
        </w:tc>
      </w:tr>
      <w:tr>
        <w:trPr>
          <w:trHeight w:val="162"/>
        </w:trPr>
        <w:tc>
          <w:tcPr>
            <w:tcW w:w="270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8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29,408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29,408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(6,738)</w:t>
            </w:r>
          </w:p>
        </w:tc>
      </w:tr>
      <w:tr>
        <w:trPr>
          <w:trHeight w:val="149"/>
        </w:trPr>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w w:val="98"/>
              </w:rPr>
              <w:t>Adjustment of noncontrolling interest to</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5"/>
        </w:trPr>
        <w:tc>
          <w:tcPr>
            <w:tcW w:w="2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redemption value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(10,420)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(10,420)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10,420</w:t>
            </w:r>
          </w:p>
        </w:tc>
      </w:tr>
      <w:tr>
        <w:trPr>
          <w:trHeight w:val="149"/>
        </w:trPr>
        <w:tc>
          <w:tcPr>
            <w:tcW w:w="2700" w:type="dxa"/>
            <w:vAlign w:val="bottom"/>
          </w:tcPr>
          <w:p>
            <w:pPr>
              <w:ind w:left="120"/>
              <w:spacing w:after="0" w:line="149" w:lineRule="exact"/>
              <w:rPr>
                <w:sz w:val="20"/>
                <w:szCs w:val="20"/>
                <w:color w:val="auto"/>
              </w:rPr>
            </w:pPr>
            <w:r>
              <w:rPr>
                <w:rFonts w:ascii="Arial" w:cs="Arial" w:eastAsia="Arial" w:hAnsi="Arial"/>
                <w:sz w:val="15"/>
                <w:szCs w:val="15"/>
                <w:color w:val="auto"/>
                <w:w w:val="94"/>
              </w:rPr>
              <w:t>Transition adjustment related to adoption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of ASU 2018-02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2,707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(2,707)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49"/>
        </w:trPr>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Other comprehensive income, net of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5"/>
        </w:trPr>
        <w:tc>
          <w:tcPr>
            <w:tcW w:w="2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taxes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62"/>
        </w:trPr>
        <w:tc>
          <w:tcPr>
            <w:tcW w:w="2700" w:type="dxa"/>
            <w:vAlign w:val="bottom"/>
          </w:tcPr>
          <w:p>
            <w:pPr>
              <w:ind w:left="120"/>
              <w:spacing w:after="0" w:line="162" w:lineRule="exact"/>
              <w:rPr>
                <w:sz w:val="20"/>
                <w:szCs w:val="20"/>
                <w:color w:val="auto"/>
              </w:rPr>
            </w:pPr>
            <w:r>
              <w:rPr>
                <w:rFonts w:ascii="Arial" w:cs="Arial" w:eastAsia="Arial" w:hAnsi="Arial"/>
                <w:sz w:val="15"/>
                <w:szCs w:val="15"/>
                <w:color w:val="auto"/>
                <w:w w:val="97"/>
              </w:rPr>
              <w:t>Payment of dividends ($0.90 per 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800" w:type="dxa"/>
            <w:vAlign w:val="bottom"/>
            <w:gridSpan w:val="4"/>
          </w:tcPr>
          <w:p>
            <w:pPr>
              <w:jc w:val="right"/>
              <w:ind w:right="120"/>
              <w:spacing w:after="0" w:line="162" w:lineRule="exact"/>
              <w:rPr>
                <w:sz w:val="20"/>
                <w:szCs w:val="20"/>
                <w:color w:val="auto"/>
              </w:rPr>
            </w:pPr>
            <w:r>
              <w:rPr>
                <w:rFonts w:ascii="Arial" w:cs="Arial" w:eastAsia="Arial" w:hAnsi="Arial"/>
                <w:sz w:val="15"/>
                <w:szCs w:val="15"/>
                <w:color w:val="auto"/>
              </w:rPr>
              <w:t>(504)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(46,076)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(46,412)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49"/>
        </w:trPr>
        <w:tc>
          <w:tcPr>
            <w:tcW w:w="27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w w:val="97"/>
              </w:rPr>
              <w:t>Restricted stock units and stock options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75"/>
        </w:trPr>
        <w:tc>
          <w:tcPr>
            <w:tcW w:w="2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surrendered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(3,825)</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(3,824)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62"/>
        </w:trPr>
        <w:tc>
          <w:tcPr>
            <w:tcW w:w="270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2,026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56"/>
        </w:trPr>
        <w:tc>
          <w:tcPr>
            <w:tcW w:w="27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BALANCE, March 31, 2019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bottom w:val="single" w:sz="8" w:color="auto"/>
            </w:tcBorders>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514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9"/>
              </w:rPr>
              <w:t>$ 899,164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(15,687)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(412,905)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gridSpan w:val="2"/>
            <w:shd w:val="clear" w:color="auto" w:fill="CCEEFF"/>
          </w:tcPr>
          <w:p>
            <w:pPr>
              <w:jc w:val="right"/>
              <w:ind w:right="20"/>
              <w:spacing w:after="0" w:line="156" w:lineRule="exact"/>
              <w:rPr>
                <w:sz w:val="20"/>
                <w:szCs w:val="20"/>
                <w:color w:val="auto"/>
              </w:rPr>
            </w:pPr>
            <w:r>
              <w:rPr>
                <w:rFonts w:ascii="Arial" w:cs="Arial" w:eastAsia="Arial" w:hAnsi="Arial"/>
                <w:sz w:val="15"/>
                <w:szCs w:val="15"/>
                <w:color w:val="auto"/>
              </w:rPr>
              <w:t>(30,622)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440,464</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291,115</w:t>
            </w: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60" w:right="239"/>
        <w:spacing w:after="0" w:line="269"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also owns a 62.1% interest in a joint venture (the “Gaylord Rockies joint venture”) that owns the Gaylord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Rockies Resort &amp; Convention Center near Denver, Colorado (“Gaylord Rockies”), which opened in December 2018 and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managed by Marriott. As further discussed in the Company’s Annual Report on Form 10-K for the year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2019, management has concluded that the Company is the primary beneficiary of this variable interest entity.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such, the Company has consolidated the assets, liabilities and results of operations of the Gaylord Rockies joint venture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the accompanying condensed consolidated financial statements. The portion of the Gaylord Rockies joint venture that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does not own is recorded as noncontrolling interest in consolidated joint venture in the accompanying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condensed consolidated balance sheet, and any adjustment necessary to reflect the noncontrolling interest at its redemption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value is shown in the accompanying condensed consolidated statement of stockholders’ equity. Creditors of the Gaylord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Rockies joint venture have no recourse to the general credit of the Company, except with respect to certain limited loan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guarantees as discussed in Note 13, “Commitments and Contingencies” to the condensed consolidated financial statements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included herein.</w:t>
      </w:r>
    </w:p>
    <w:p>
      <w:pPr>
        <w:spacing w:after="0" w:line="170"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and three Nashville-based assets managed by Marriott – Gaylord Springs Golf Links (“Gaylord Springs”), the Wildhorse Saloon, and the General Jackson Showboat. The Company also owns a 50% interest in a joint venture intended to create and distribute a linear multicast and over-the-top channel dedicated to the country music lifestyle (“Circle”), which launched its broadcast network on January 1, 2020. See Note 13, “Commitments and Contingencies” to the condensed consolidated financial statements included herein for further disclosure.</w:t>
      </w:r>
    </w:p>
    <w:p>
      <w:pPr>
        <w:spacing w:after="0" w:line="138"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2019.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4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198"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March 2020, the World Health Organization declared the outbreak of a novel coronavirus disease (COVID-19) as a pandemic, which continues to spread throughout the United States. COVID-19 is having an unprecedented impact on the U.S. economy, and due to the COVID-19 pandemic, there is significant uncertainty surrounding the full extent of its impact on the Company’s future results of operations and financial position.</w:t>
      </w:r>
    </w:p>
    <w:p>
      <w:pPr>
        <w:spacing w:after="0" w:line="131"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The Company, in consultation with local governmental authorities, first determined to close its Nashville-based entertainment venues on March 15, 2020. As cancellations at the Gaylord Hotels properties began to increase, the Company and its hotel manager, Marriott, implemented a series of operational changes, beginning with scaling back operations at the hotels to reflect reduced occupancy, closing food and beverage outlets, and reducing hourly staffing and culminating with the suspension of operations at the Gaylord Hotels properties beginning March 24, 2020. Hotel employees that were laid off or furloughed were generally paid the equivalent of one week of compensation, and benefits for hotel employees are being maintained through June 30, 2020. The Gaylord Hotels properties, as well as substantially all of the Company’s entertainment assets remain closed, and the decision to reopen will be based on a number of factors and made in consultation with local health authorities.</w:t>
      </w:r>
    </w:p>
    <w:p>
      <w:pPr>
        <w:spacing w:after="0" w:line="140"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In the Company’s Entertainment segment, in addition to the closure of its entertainment assets, the Company has taken steps to reduce operating costs in all areas. The Company is continuing to pay all full-time and part-time employees at its Company-managed properties through May 15, 2020.</w:t>
      </w:r>
    </w:p>
    <w:p>
      <w:pPr>
        <w:spacing w:after="0" w:line="157"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To preserve liquidity, on March 17, 2020, the Company completed a $400 million draw from its existing $700 million revolving line of credit as a precaution to ensure funds are available to meet the Company’s obligations for a sustained period of time. At March 31, 2020, the Company had an additional $299.1 million available for borrowing under its revolving credit facility and $662.2 million in unrestricted cash on hand. In addition, following the payment of the Company’s first quarter 2020 dividend as discussed in Note 14, “Stockholders Equity,” to the condensed consolidated financial statements included herein, the Company suspended its regular quarterly dividend payments for the remainder of 2020. The Company’s board of directors will consider a future dividend as permitted by the Company’s credit agreement. The Company’s credit agreement amendment described in Note 17, “Subsequent Events,” to the condensed consolidated financial statements included herein, permits payment of dividends as necessary to maintain the Company’s REIT status and permits the Company to pay a dividend of $0.01 per share each quarter. Any future dividend is subject to the Company’s board of director’s determinations as to the amount of distributions and timing thereof.</w:t>
      </w:r>
    </w:p>
    <w:p>
      <w:pPr>
        <w:spacing w:after="0" w:line="131"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The Company has deferred substantially all non-essential capital projects, in addition to delaying the Gaylord Rockies expansion project, which was scheduled to begin construction in second quarter 2020. The Gaylord Palms expansion project is continuing, and the Company believes the expansion will allow Gaylord Palms to serve groups moving meetings to next year.</w:t>
      </w:r>
    </w:p>
    <w:p>
      <w:pPr>
        <w:spacing w:after="0" w:line="146"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The Company amended its credit facility on April 23, 2020, as described in Note 17, “Subsequent Events.” The Company continues to pay all required debt service payments on its indebtedness, lease payments, taxes and other payables.</w:t>
      </w:r>
    </w:p>
    <w:p>
      <w:pPr>
        <w:spacing w:after="0" w:line="9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Company’s smaller hotels, the Inn at Opryland and the AC Hotel, as well as Gaylord Springs, remain operational, and the Company currently has no plans to temporarily close these businesses. Revenues from these assets have been negligible during the COVID-19 pandemic.</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Block 21 Acquisition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December 2019, the Company entered into an agreement to purchase Block 21, a mixed-use entertainment, lodging,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office and retail complex located in Austin, Texas, for $275 million, which includes the assumption of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$141 million of existing mortgage debt. Block 21 is the home of the Austin City Limits Live at The Moody Theater (“ACL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Live”), a 2,750-seat entertainment venue that serves as the filming location for the Austin City Limits television series.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Block 21 complex also includes the 251-room W Austin Hotel, the 350-seat 3TEN at ACL Live club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53,000 square feet of Class A commercial space. The Company paid a nonrefundable deposit of $15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with the agreement, and the acquisition is subject to customary closing conditions, including, but not limited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to, the consent to the Company’s assumption of the existing mortgage loan by the loan servicer. If the acquisition is completed, the Company intends to fund the acquisition with a portion of the proceeds from the equity offering discussed in Note 11, “Equity” to the consolidated financial statements included in the Company’s Annual Report on Form 10-K for the year ended December 31, 2019.</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Newly Issued Accounting Standards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June 2016, the Financial Accounting Standards Board (“FASB”) issued Accounting Standards Update (“ASU”)</w:t>
      </w:r>
    </w:p>
    <w:p>
      <w:pPr>
        <w:spacing w:after="0" w:line="35" w:lineRule="exact"/>
        <w:rPr>
          <w:sz w:val="20"/>
          <w:szCs w:val="20"/>
          <w:color w:val="auto"/>
        </w:rPr>
      </w:pPr>
    </w:p>
    <w:p>
      <w:pPr>
        <w:ind w:left="60" w:right="99"/>
        <w:spacing w:after="0" w:line="267" w:lineRule="auto"/>
        <w:rPr>
          <w:sz w:val="20"/>
          <w:szCs w:val="20"/>
          <w:color w:val="auto"/>
        </w:rPr>
      </w:pPr>
      <w:r>
        <w:rPr>
          <w:rFonts w:ascii="Arial" w:cs="Arial" w:eastAsia="Arial" w:hAnsi="Arial"/>
          <w:sz w:val="17"/>
          <w:szCs w:val="17"/>
          <w:color w:val="auto"/>
        </w:rPr>
        <w:t>No. 2016-13, “</w:t>
      </w:r>
      <w:r>
        <w:rPr>
          <w:rFonts w:ascii="Arial" w:cs="Arial" w:eastAsia="Arial" w:hAnsi="Arial"/>
          <w:sz w:val="17"/>
          <w:szCs w:val="17"/>
          <w:i w:val="1"/>
          <w:iCs w:val="1"/>
          <w:color w:val="auto"/>
        </w:rPr>
        <w:t>Financial Instruments – Credit Losses – Measurement of Credit Losses on Financial Instruments</w:t>
      </w:r>
      <w:r>
        <w:rPr>
          <w:rFonts w:ascii="Arial" w:cs="Arial" w:eastAsia="Arial" w:hAnsi="Arial"/>
          <w:sz w:val="17"/>
          <w:szCs w:val="17"/>
          <w:color w:val="auto"/>
        </w:rPr>
        <w:t>,” which changes how entities measure credit losses for most financial assets and certain other instruments that are not measured at fair value through net income. The ASU replaces the previous “incurred loss” approach with an “expected loss” model for instruments measured at amortized cost. For trade and other receivables, held-to-maturity debt securities, loans and other instruments, entities are required to use a new forward-looking “expected loss” model that generally will result in the earlier recognition of allowances for losses. The Company has applied these amendments with a modified-retrospective approach, with a cumulative-effect adjustment to retained earnings as of the beginning of the period of adoption. For debt securities for which an other-than-temporary impairment has been previously recognized, a prospective transition approach for the prior other-than-temporary impairment is required. The Company adopted this ASU in the first quarter of 2020 and recorded an adjustment to beginning retained earnings of $5.3 million and an adjustment to accumulated other comprehensive loss of $2.2 million. See Note 4, “Accumulated Other Comprehensive Loss” and Note 6, “Notes Receivable” for additional disclosure.</w:t>
      </w:r>
    </w:p>
    <w:p>
      <w:pPr>
        <w:spacing w:after="0" w:line="14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w:t>
      </w:r>
      <w:r>
        <w:rPr>
          <w:rFonts w:ascii="Arial" w:cs="Arial" w:eastAsia="Arial" w:hAnsi="Arial"/>
          <w:sz w:val="16"/>
          <w:szCs w:val="16"/>
          <w:color w:val="auto"/>
        </w:rPr>
        <w:t>,” which provides temporary optional expedients and exceptions to the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the first quarter of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REVENUES:</w:t>
      </w:r>
    </w:p>
    <w:p>
      <w:pPr>
        <w:spacing w:after="0" w:line="189"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203"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w:t>
      </w:r>
    </w:p>
    <w:p>
      <w:pPr>
        <w:ind w:left="68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$ 102,692</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Hotel transient rooms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29,520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108,170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126,196</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44,947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13,623</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12,039</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7,603</w:t>
            </w: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313,030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$ 370,775</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90"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w:t>
      </w:r>
    </w:p>
    <w:p>
      <w:pPr>
        <w:ind w:left="68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88,958</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Gaylord Palms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59,917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72,039</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Gaylord National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65,630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 Hotel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2,435</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 and other</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Total Hospitality segment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285,671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337,510</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pacing w:after="0" w:line="185" w:lineRule="exact"/>
        <w:rPr>
          <w:sz w:val="20"/>
          <w:szCs w:val="20"/>
          <w:color w:val="auto"/>
        </w:rPr>
      </w:pPr>
    </w:p>
    <w:p>
      <w:pPr>
        <w:ind w:left="60" w:right="33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March 31, 2020 and December 31, 2019, the Company had $77.7 million and $76.7 million, respectively, in deferred revenues, which are included in accounts payable and accrued liabilities in the accompanying condensed consolidated balance sheets. Of the amount outstanding at December 31, 2019, approximately $43.3 million was recognized in revenue during the three months ended March 31, 2020.</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INCOME PER SHARE: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90"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w:t>
      </w:r>
    </w:p>
    <w:p>
      <w:pPr>
        <w:ind w:left="70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880" w:type="dxa"/>
        <w:tblCellMar>
          <w:top w:w="0" w:type="dxa"/>
          <w:left w:w="0" w:type="dxa"/>
          <w:bottom w:w="0" w:type="dxa"/>
          <w:right w:w="0" w:type="dxa"/>
        </w:tblCellMar>
      </w:tblPr>
      <w:tr>
        <w:trPr>
          <w:trHeight w:val="142"/>
        </w:trPr>
        <w:tc>
          <w:tcPr>
            <w:tcW w:w="58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51,349</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54,911</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51,949</w:t>
            </w:r>
          </w:p>
        </w:tc>
      </w:tr>
      <w:tr>
        <w:trPr>
          <w:trHeight w:val="20"/>
        </w:trPr>
        <w:tc>
          <w:tcPr>
            <w:tcW w:w="5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For the three months ended March 31, 2020, the effect of dilutive stock-based compensation was the equivalent of 141,000 shares of common stock outstanding. Because the Company had a loss from continuing operations in the three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months ended March 31, 2020, these incremental shares were excluded from the computation of dilutive earnings per share as the effect of their inclusion would have been anti-dilutive.</w:t>
      </w:r>
    </w:p>
    <w:p>
      <w:pPr>
        <w:spacing w:after="0" w:line="143"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As more fully discussed in Note 13, “Commitments and Contingencies,” to the condensed consolidated financial statements included herein, certain affiliates of Ares Management, L.P. (“Ares”) each have a put right to require the Company to purchase their joint venture interests in the Gaylord Rockies joint venture in consideration of cash or operating partnership units (“OP Units”) of RHP Hotel Properties, LP (the “Operating Partnership”). Any OP Units issued by the Operating Partnership to the certain affiliates of Ares will be redeemable at the option of the holders thereof for shares of the Company’s common stock on a one-for-one basis, subject to certain adjustments. For the three months ended March 31, 2020, the effect of dilutive put rights was the equivalent of 538,000 shares of common stock outstanding. Because the Company had a loss from continuing operations in the three months ended March 31, 2020, these incremental shares were excluded from the computation of dilutive earnings per share as the effect of their inclusion would have been anti-dilutive.</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8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The Company’s balance in accumulated other comprehensive loss is comprised of amounts related to the Company’s minimum pension liability discussed in Note 11, “Pension and Postretirement Benefits Other Than Pension Plans,” interest rate derivatives designated as cash flow hedges of the Company’s and the Gaylord Rockies joint venture’s outstanding debt as discussed in Note 7, “Debt,” and amounts related to an other-than-temporary impairment of a held-to-maturity investment that existed prior to the Company’s adoption of ASU 2016-13 with respect to the notes receivable discussed in Note 6, “Notes Receivable,” to the condensed consolidated financial statements included herein, and Note 3, “Notes Receivable,” to the consolidated financial statements included in the Company’s Annual Report on Form 10-K for the year ended December 31, 2019. Changes in accumulated other comprehensive loss by component for the three months ended March 31, 2020 and 2019 consisted of the following (in thousands):</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(35,947)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(37,054)</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(37,437)</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w w:val="96"/>
              </w:rPr>
              <w:t>Transition adjustment related to adoption of ASU 2016-13 (see Note 1)</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6"/>
                <w:szCs w:val="16"/>
                <w:color w:val="auto"/>
              </w:rPr>
              <w:t>Balance, March 31, 2020</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(25,006)</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(63,438)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(28,024)</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Transition adjustment related to adoption of ASU 2018-02</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6"/>
                <w:szCs w:val="16"/>
                <w:color w:val="auto"/>
              </w:rPr>
              <w:t>Balance, March 31, 2019</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(24,495)</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(6,127)</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(30,622)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w:t>
      </w:r>
    </w:p>
    <w:p>
      <w:pPr>
        <w:spacing w:after="0" w:line="202"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Property and equipment, including right-of-use finance lease assets, at March 31, 2020 and December 31, 2019 is recorded at cost (except for right-of-use finance lease assets) and summarized as follows (in thousands):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349,024</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3,441,389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3,432,136</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968,858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82,906</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4,866,940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4,834,537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(1,736,963)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(1,704,285)</w:t>
            </w:r>
          </w:p>
        </w:tc>
      </w:tr>
      <w:tr>
        <w:trPr>
          <w:trHeight w:val="209"/>
        </w:trPr>
        <w:tc>
          <w:tcPr>
            <w:tcW w:w="5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3,129,977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3,130,252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NOTES RECEIVABLE:</w:t>
      </w:r>
    </w:p>
    <w:p>
      <w:pPr>
        <w:spacing w:after="0" w:line="189"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As further discussed in the Company’s Annual Report on Form 10-K for the year ended December 31, 2019, in connection with the development of Gaylord National, the Company holds two issuances of governmental bonds (“Series A bond” and “Series B bond”) with a total carrying value and approximate fair value of $99.9 million and $110.1 million at March 31, 2020 and December 31, 2019, respectively, net of credit loss reserve of $11.0 million and $0, respectively.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2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The Company has the intent and ability to hold these bonds to maturity. In the first quarter of 2020, the Company recorded an initial transition adjustment of $5.2 million and performed its quarterly assessment of credit losses under the newly adopted credit loss standard discussed in Note 1, which considers the estimate of projected tax revenues that will service the Series B bond over its remaining term. These long-range tax revenue projections were updated as a result of the closure of Gaylord National as a result of the COVID-19 pandemic. As a result of these reduced long-range tax revenue projections over the remaining life of the Series B bond, the Company increased its credit loss reserve by $5.8 million at March 31, 2020.</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three months ended March 31, 2020 and 2019, the Company recorded interest income of $1.5 million and $2.6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million, respectively, on these bonds. The Company received payments of $2.9 million and $3.0 million during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three months ended March 31, 2020 and 2019, respectively, relating to these bonds. At March 31, 2020 and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2019, the Company had accrued interest receivable related to these bonds of $39.0 million and $38.2 million, respectively.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DEBT: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debt and finance lease obligations at March 31, 2020 and December 31, 2019 consisted of (in thousands):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182"/>
        </w:trPr>
        <w:tc>
          <w:tcPr>
            <w:tcW w:w="6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$700M Revolving Credit Facility, interest at LIBOR plus 1.55%, maturing March 31, 2024,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financing costs of $8,126 and $0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391,874</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rPr>
              <w:t>$300M Term Loan A, interest at LIBOR plus 1.50%, maturing May 31, 2025, less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unamortized deferred financing costs of $2,370 and $2,478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297,630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297,522</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$500M Term Loan B, interest at LIBOR plus 2.00%, maturing May 11, 2024, less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 of $4,268 and $4,501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380,732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381,749</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4"/>
              </w:rPr>
              <w:t>$400M Senior Notes, interest at 5.0%, maturing April 15, 2023, less unamortized deferred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financing costs of $2,992 and $3,222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397,008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396,778</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$700M Senior Notes, interest at 4.75%, maturing October 15, 2027, less unamortized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3"/>
              </w:rPr>
              <w:t>deferred financing costs of $11,489 and $11,808, plus unamortized premium of $2,367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690,878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690,626</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6"/>
              </w:rPr>
              <w:t>$800M Term Loan (Gaylord Rockies JV), interest at LIBOR plus 2.50%, maturing July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2023, less unamortized deferred financing costs of $7,483 and $8,015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792,517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791,985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10"/>
        </w:trPr>
        <w:tc>
          <w:tcPr>
            <w:tcW w:w="6760" w:type="dxa"/>
            <w:vAlign w:val="bottom"/>
          </w:tcPr>
          <w:p>
            <w:pPr>
              <w:ind w:left="10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2,951,888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2,559,968</w:t>
            </w: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Amounts due within one year consist of the amortization payments for the $500 million term loan B of 1.0% of the original principal balance, as described in the Company’s Annual Report on Form 10-K for the year ended December 31, 2019.</w:t>
      </w:r>
    </w:p>
    <w:p>
      <w:pPr>
        <w:spacing w:after="0" w:line="83"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At March 31, 2020, the Company was in compliance with all of its covenants related to its outstanding debt, and the lenders had waived the covenant in the credit facility that prohibits closure of the Gaylord Hotels properties for longer than a specified period of time. See Note 17, “Subsequent Events,” for additional discussion.</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198"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Company may enter into interest rate swap agreements to hedge against interest rate fluctuations. The Company and the Gaylord Rockies joint venture have each entered into interest rate swaps to manage interest rate risk associated with the Company’s $500 million term loan B and the Gaylord Rockies joint venture’s $800 million term loan, respectively. Each swap has been designated as a cash flow hedge whereby the Company or the joint venture receives variable-rate amounts in exchange for fixed-rate payments over the life of the agreement without exchange of the underlying principal amount. Neither the Company nor the Gaylord Rockies joint venture use derivatives for trading or speculative purposes and currently do not hold any derivatives that are not designated as hedges.</w:t>
      </w:r>
    </w:p>
    <w:p>
      <w:pPr>
        <w:spacing w:after="0" w:line="137"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$13.6 million will be reclassified from accumulated other comprehensive loss to interest expense in the next twelve months.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estimated fair value of the Company’s derivative financial instruments at March 31, 2020 and December 31, 2019 is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Strike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Asset (Liability) Balance</w:t>
            </w: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Type</w:t>
            </w:r>
          </w:p>
        </w:tc>
        <w:tc>
          <w:tcPr>
            <w:tcW w:w="70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Index</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Maturity Date</w:t>
            </w:r>
          </w:p>
        </w:tc>
        <w:tc>
          <w:tcPr>
            <w:tcW w:w="9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March 31,</w:t>
            </w: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Rate</w:t>
            </w:r>
          </w:p>
        </w:tc>
        <w:tc>
          <w:tcPr>
            <w:tcW w:w="11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700" w:type="dxa"/>
            <w:vAlign w:val="bottom"/>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1.2235%</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$ 87,500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(2,464)</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(2,464)</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$ 87,500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(2,464)</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1.2315%</w:t>
            </w: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(2,486)</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Loan</w:t>
            </w:r>
          </w:p>
        </w:tc>
        <w:tc>
          <w:tcPr>
            <w:tcW w:w="13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1.6500%</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August 1, 2022</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$ 800,000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(24,887)</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(34,765)</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8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1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5"/>
              <w:spacing w:after="0"/>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27"/>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4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rate swaps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w w:val="89"/>
              </w:rPr>
              <w:t>(35,947)</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5"/>
                <w:szCs w:val="15"/>
                <w:color w:val="auto"/>
                <w:w w:val="90"/>
              </w:rPr>
              <w:t>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w:t>
            </w: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 derivatives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6"/>
              </w:rPr>
              <w:t>(35,947)</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8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452</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March 31, 2020 and 2019 was $29.4 million and $32.1 million, respectively.</w:t>
      </w:r>
    </w:p>
    <w:p>
      <w:pPr>
        <w:spacing w:after="0" w:line="157"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At March 31, 2020, the fair value of derivatives in a net liability position including accrued interest but excluding any adjustment for nonperformance risk related to these agreements was $35.7 million. As of March 31, 2020,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$35.7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89"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 line basis over the 65-year term of the hotel management agreements, including extensions, as a reduction in management fee expense.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lease liabilities.</w:t>
      </w:r>
    </w:p>
    <w:p>
      <w:pPr>
        <w:spacing w:after="0" w:line="149"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4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Company’s lease costs for the three months ended March 31, 2020 and 2019 are as follows (in thousands):</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215"/>
        </w:trPr>
        <w:tc>
          <w:tcPr>
            <w:tcW w:w="5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8"/>
                <w:szCs w:val="18"/>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r>
      <w:tr>
        <w:trPr>
          <w:trHeight w:val="21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Future minimum lease payments under non-cancelable leases at March 31, 2020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Finance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572,754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(496,265)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present value of minimum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2"/>
              </w:rPr>
              <w:t>50.4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10.1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6.8 %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 PLANS:</w:t>
      </w:r>
    </w:p>
    <w:p>
      <w:pPr>
        <w:spacing w:after="0" w:line="20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During the three months ended March 31, 2020, the Company granted 0.1 million restricted stock units with a weighted-average grant date fair value of $92.31 per unit. There were 0.4 million and 0.3 million restricted stock units outstanding at March 31, 2020 and December 31, 2019, respectively.</w:t>
      </w:r>
    </w:p>
    <w:p>
      <w:pPr>
        <w:spacing w:after="0" w:line="143"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Compensation expense for all of the Company’s stock-based compensation plans was $2.2 million and $2.0 million for the three months ended March 31, 2020 and 2019, respectively.</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PENSION AND POSTRETIREMENT BENEFITS OTHER THAN PENSION PLANS:</w:t>
      </w:r>
    </w:p>
    <w:p>
      <w:pPr>
        <w:spacing w:after="0" w:line="202" w:lineRule="exact"/>
        <w:rPr>
          <w:sz w:val="20"/>
          <w:szCs w:val="20"/>
          <w:color w:val="auto"/>
        </w:rPr>
      </w:pPr>
    </w:p>
    <w:p>
      <w:pPr>
        <w:ind w:left="60" w:right="679"/>
        <w:spacing w:after="0" w:line="342" w:lineRule="auto"/>
        <w:rPr>
          <w:sz w:val="20"/>
          <w:szCs w:val="20"/>
          <w:color w:val="auto"/>
        </w:rPr>
      </w:pPr>
      <w:r>
        <w:rPr>
          <w:rFonts w:ascii="Arial" w:cs="Arial" w:eastAsia="Arial" w:hAnsi="Arial"/>
          <w:sz w:val="16"/>
          <w:szCs w:val="16"/>
          <w:color w:val="auto"/>
        </w:rPr>
        <w:t>Net periodic pension expense (benefit) reflected in other gains and (losses), net in the accompanying condensed consolidated statements of operations included the following components for the respective periods (in thousands):</w:t>
      </w:r>
    </w:p>
    <w:p>
      <w:pPr>
        <w:spacing w:after="0" w:line="88"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Three Months Ended</w:t>
      </w:r>
    </w:p>
    <w:p>
      <w:pPr>
        <w:ind w:left="6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r>
      <w:tr>
        <w:trPr>
          <w:trHeight w:val="209"/>
        </w:trPr>
        <w:tc>
          <w:tcPr>
            <w:tcW w:w="5500" w:type="dxa"/>
            <w:vAlign w:val="bottom"/>
            <w:gridSpan w:val="2"/>
          </w:tcPr>
          <w:p>
            <w:pPr>
              <w:spacing w:after="0"/>
              <w:rPr>
                <w:sz w:val="20"/>
                <w:szCs w:val="20"/>
                <w:color w:val="auto"/>
              </w:rPr>
            </w:pPr>
            <w:r>
              <w:rPr>
                <w:rFonts w:ascii="Arial" w:cs="Arial" w:eastAsia="Arial" w:hAnsi="Arial"/>
                <w:sz w:val="18"/>
                <w:szCs w:val="18"/>
                <w:color w:val="auto"/>
              </w:rPr>
              <w:t>Total net periodic pension expense (benefit)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Net postretirement benefit income reflected in other gains and (losses), net in the accompanying condensed consolidated statements of operations included the following components for the respective periods (in thousands):</w:t>
      </w:r>
    </w:p>
    <w:p>
      <w:pPr>
        <w:spacing w:after="0" w:line="111"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w:t>
      </w:r>
    </w:p>
    <w:p>
      <w:pPr>
        <w:ind w:left="68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r>
      <w:tr>
        <w:trPr>
          <w:trHeight w:val="210"/>
        </w:trPr>
        <w:tc>
          <w:tcPr>
            <w:tcW w:w="5540" w:type="dxa"/>
            <w:vAlign w:val="bottom"/>
            <w:gridSpan w:val="2"/>
          </w:tcPr>
          <w:p>
            <w:pPr>
              <w:spacing w:after="0"/>
              <w:rPr>
                <w:sz w:val="20"/>
                <w:szCs w:val="20"/>
                <w:color w:val="auto"/>
              </w:rPr>
            </w:pPr>
            <w:r>
              <w:rPr>
                <w:rFonts w:ascii="Arial" w:cs="Arial" w:eastAsia="Arial" w:hAnsi="Arial"/>
                <w:sz w:val="18"/>
                <w:szCs w:val="18"/>
                <w:color w:val="auto"/>
              </w:rPr>
              <w:t>Total net postretirement benefit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47" w:lineRule="exact"/>
        <w:rPr>
          <w:sz w:val="20"/>
          <w:szCs w:val="20"/>
          <w:color w:val="auto"/>
        </w:rPr>
      </w:pPr>
    </w:p>
    <w:p>
      <w:pPr>
        <w:ind w:left="60" w:right="319"/>
        <w:spacing w:after="0" w:line="279" w:lineRule="auto"/>
        <w:rPr>
          <w:sz w:val="20"/>
          <w:szCs w:val="20"/>
          <w:color w:val="auto"/>
        </w:rPr>
      </w:pPr>
      <w:r>
        <w:rPr>
          <w:rFonts w:ascii="Arial" w:cs="Arial" w:eastAsia="Arial" w:hAnsi="Arial"/>
          <w:sz w:val="17"/>
          <w:szCs w:val="17"/>
          <w:color w:val="auto"/>
        </w:rPr>
        <w:t>For the three months ended March 31, 2020, the Company recorded an income tax provision of $26.8 million. The provision was primarily due to recording a valuation allowance of $26.7 million, as further described below. In the three months ended March 31, 2020, the Company also recorded income tax expense of $0.1 million, inclusive of valuation allowance, related to the current period operations of the Company.</w:t>
      </w:r>
    </w:p>
    <w:p>
      <w:pPr>
        <w:spacing w:after="0" w:line="131"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Due to the financial statement impact of the COVID-19 pandemic, the Company reassessed the realizability of net deferred tax assets as of March 31, 2020, and as a result, the Company recorded a full valuation allowance of $26.7 million on the net deferred tax assets of its TRSs.</w:t>
      </w:r>
    </w:p>
    <w:p>
      <w:pPr>
        <w:spacing w:after="0" w:line="157"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For the three months ended March 31, 2019, the Company recorded an income tax provision of $2.0 million related to regular operations, which differs from the statutory rate primarily due to the REIT dividends paid deduction.</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March 31, 2020 and December 31, 2019, the Company had no unrecognized tax benefits.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Pursuant to the Gaylord Rockies joint venture agreements, certain affiliates of Ares each have a put right to require the Company to purchase their joint venture interests at a defined appraised value during an annual window period or under certain other circumstances (not currently applicable) in consideration of cash or OP Units of the Operating Partnership. Such OP Units have economic terms that are substantially similar to shares of the Company’s common stock. Any OP Units issued by the Operating Partnership to the Ares affiliates will be redeemable at the option of the holders thereof for shares of the Company’s common stock on a one-for-one basis, subject to certain adjustments.</w:t>
      </w:r>
    </w:p>
    <w:p>
      <w:pPr>
        <w:spacing w:after="0" w:line="124"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Affiliates of RIDA Development Corporation (“RIDA”) also have a put right at a defined appraised value for cash, which will generally become exercisable at the earlier of December 31, 2023 or the date on which a certain change of control of RIDA occurs.</w:t>
      </w:r>
    </w:p>
    <w:p>
      <w:pPr>
        <w:spacing w:after="0" w:line="143"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 connection with its investment in the Gaylord Rockies joint venture, the Company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51"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In April 2019, a subsidiary of the Company entered into a joint venture with Gray Television, Inc. to create and distribute a linear multicast and over-the-top channel dedicated to the country music lifestyle (“New Country Ventures”). The Company acquired a 50% equity interest in this joint venture and has made capital contributions of $7.0 million. In addition, the joint venture agreement requires the Company to contribute up to an additional $8.0 million through December 31, 2021. The Company accounts for its investment in this joint venture under the equity method of accounting.</w:t>
      </w:r>
    </w:p>
    <w:p>
      <w:pPr>
        <w:spacing w:after="0" w:line="12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STOCKHOLDERS’ EQUITY:</w:t>
      </w:r>
    </w:p>
    <w:p>
      <w:pPr>
        <w:spacing w:after="0" w:line="189"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On February 25, 2020, the Company’s board of directors declared the Company’s first quarter 2020 cash dividend in the amount of $0.95 per share of common stock, or an aggregate of approximately $52.2 million in cash, which was paid on April 15, 2020 to stockholders of record as of the close of business on March 31, 2020. Following the payment of the first quarter 2020 cash dividend, the Company suspended its regular quarterly dividend payments for the remainder of 2020. The Company’s board of directors will consider a future dividend as permitted by the Company’s credit agreement. The Company’s credit agreement amendment described in Note 17, “Subsequent Events,” to the condensed consolidated financial statements included herein, permits payment of dividends as necessary to maintain the Company’s REIT status and permits the Company to pay a dividend of $0.01 per share each quarter. Any future dividend is subject to the Company’s board of director’s determination as to the amount of distributions and the timing thereof.</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FAIR VALUE MEASUREMENTS:</w:t>
      </w:r>
    </w:p>
    <w:p>
      <w:pPr>
        <w:spacing w:after="0" w:line="202"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7"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The investments held by the Company in connection with its deferred compensation plan consist of mutual funds traded in an active market. The Company determined the fair value of these mutual funds based on the net asset value per unit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of the funds or the portfolio, which is based upon quoted market prices in an active market. Therefore, the Company has categorized these investments as Level 1.</w:t>
      </w:r>
    </w:p>
    <w:p>
      <w:pPr>
        <w:spacing w:after="0" w:line="143"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Company’s interest rate swaps and the Gaylord Rockies joint venture’s interest rate swap consist of over-the-counter swap contracts, which are not traded on a public exchange. The Company or the Gaylord Rockies joint venture, as applicable,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24"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3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Company’s assets and liabilities measured at fair value on a recurring basis at March 31, 2020 and December 31, 2019, were as follows (in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040" w:type="dxa"/>
            <w:vAlign w:val="bottom"/>
            <w:gridSpan w:val="3"/>
          </w:tcPr>
          <w:p>
            <w:pPr>
              <w:ind w:left="9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34,765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34,765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to fixed interest rate swaps</w:t>
            </w: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Variable to fixed interest rate swaps</w:t>
            </w:r>
          </w:p>
        </w:tc>
        <w:tc>
          <w:tcPr>
            <w:tcW w:w="10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The remainder of the assets and liabilities held by the Company at March 31, 2020 are not required to be recorded at fair value, and the carrying value of these assets and liabilities approximate fair value, except as described below.</w:t>
      </w:r>
    </w:p>
    <w:p>
      <w:pPr>
        <w:spacing w:after="0" w:line="83"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 has outstanding $400.0 million in aggregate principal amount of $400 million 5% senior notes. The carrying value of these notes at March 31, 2020 was $397.0 million, net of unamortized DFCs. The fair value of these notes, based upon quoted market prices (Level 1), was $316.1 million at March 31, 2020.</w:t>
      </w:r>
    </w:p>
    <w:p>
      <w:pPr>
        <w:spacing w:after="0" w:line="143" w:lineRule="exact"/>
        <w:rPr>
          <w:sz w:val="20"/>
          <w:szCs w:val="20"/>
          <w:color w:val="auto"/>
        </w:rPr>
      </w:pPr>
    </w:p>
    <w:p>
      <w:pPr>
        <w:jc w:val="both"/>
        <w:ind w:left="60" w:right="459"/>
        <w:spacing w:after="0" w:line="311" w:lineRule="auto"/>
        <w:rPr>
          <w:sz w:val="20"/>
          <w:szCs w:val="20"/>
          <w:color w:val="auto"/>
        </w:rPr>
      </w:pPr>
      <w:r>
        <w:rPr>
          <w:rFonts w:ascii="Arial" w:cs="Arial" w:eastAsia="Arial" w:hAnsi="Arial"/>
          <w:sz w:val="16"/>
          <w:szCs w:val="16"/>
          <w:color w:val="auto"/>
        </w:rPr>
        <w:t>The Company has outstanding $700.0 million in aggregate principal amount of $700 million 4.75% senior notes. The carrying value of these notes at March 31, 2020 was $690.9 million, net of unamortized DFCs and premiums. The fair value of these notes, based upon quoted market prices (Level 1), was $524.0 million at March 31,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720" w:right="519" w:hanging="319"/>
        <w:spacing w:after="0" w:line="274"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Hospitality</w:t>
      </w:r>
      <w:r>
        <w:rPr>
          <w:rFonts w:ascii="Arial" w:cs="Arial" w:eastAsia="Arial" w:hAnsi="Arial"/>
          <w:sz w:val="17"/>
          <w:szCs w:val="17"/>
          <w:color w:val="auto"/>
        </w:rPr>
        <w:t>, which includes Gaylord Opryland, Gaylord Palms, Gaylord Texan, Gaylord National, the Inn at</w:t>
      </w:r>
      <w:r>
        <w:rPr>
          <w:rFonts w:ascii="Arial" w:cs="Arial" w:eastAsia="Arial" w:hAnsi="Arial"/>
          <w:sz w:val="17"/>
          <w:szCs w:val="17"/>
          <w:i w:val="1"/>
          <w:iCs w:val="1"/>
          <w:color w:val="auto"/>
        </w:rPr>
        <w:t xml:space="preserve"> </w:t>
      </w:r>
      <w:r>
        <w:rPr>
          <w:rFonts w:ascii="Arial" w:cs="Arial" w:eastAsia="Arial" w:hAnsi="Arial"/>
          <w:sz w:val="17"/>
          <w:szCs w:val="17"/>
          <w:color w:val="auto"/>
        </w:rPr>
        <w:t>Opryland, the AC Hotel, and the Company’s investment in the Gaylord Rockies joint venture;</w:t>
      </w:r>
    </w:p>
    <w:p>
      <w:pPr>
        <w:ind w:left="720" w:right="13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 in Circle, and the Company’s Nashville-based attractions;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17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48"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ind w:left="75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285,671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337,510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313,030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370,775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49,769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50,133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Gain on sale of assets (2)</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Credit loss on held-to-maturity securities (3)</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1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Interest income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unconsolidated joint ventures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gains and (losses), net</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(23,937)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20" w:right="399" w:hanging="319"/>
        <w:spacing w:after="0" w:line="287"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Preopening costs for the three months ended March 31, 2020 include $0.1 million and $0.7 million for the Hospitality and Entertainment segments, respectively. Preopening costs for the three months ended March 31, 2019 include $0.7 million and $1.4 million for the Hospitality and Entertainment segments, respectively.</w:t>
      </w:r>
    </w:p>
    <w:p>
      <w:pPr>
        <w:spacing w:after="0" w:line="2" w:lineRule="exact"/>
        <w:rPr>
          <w:rFonts w:ascii="Arial" w:cs="Arial" w:eastAsia="Arial" w:hAnsi="Arial"/>
          <w:sz w:val="16"/>
          <w:szCs w:val="16"/>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on sale of assets for the three months ended March 31, 2020 relates to the Hospitality segment.</w:t>
      </w:r>
    </w:p>
    <w:p>
      <w:pPr>
        <w:spacing w:after="0" w:line="9" w:lineRule="exact"/>
        <w:rPr>
          <w:rFonts w:ascii="Arial" w:cs="Arial" w:eastAsia="Arial" w:hAnsi="Arial"/>
          <w:sz w:val="18"/>
          <w:szCs w:val="18"/>
          <w:color w:val="auto"/>
        </w:rPr>
      </w:pPr>
    </w:p>
    <w:p>
      <w:pPr>
        <w:ind w:left="720" w:right="3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loss on held-to-maturity securities for the three months ended March 31, 2020 relates to the Hospitality segment.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3,462,739</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3,494,084</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181,036</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689,367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413,348</w:t>
            </w:r>
          </w:p>
        </w:tc>
      </w:tr>
      <w:tr>
        <w:trPr>
          <w:trHeight w:val="209"/>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4,344,802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4,088,468</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202"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On April 23, 2020, the Company entered into Amendment No. 1 (the “Amendment”) to the Company’s Sixth Amended and Restated Credit Agreement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17"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Amendment provides for a waiver of the existing financial covenants through March 31, 2021 and ending on April 1, 2021 (the “Temporary Waiver Period”) and confirms the availability of the remaining $300.0 million of undrawn amounts under the revolving credit facility. In addition, the Amendment contains a covenant that the Company must maintain unrestricted liquidity (in the form of unrestricted cash on hand or undrawn availability under the Revolver) of at least $100 million.</w:t>
      </w:r>
    </w:p>
    <w:p>
      <w:pPr>
        <w:spacing w:after="0" w:line="147"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During the Temporary Waiver Period, the Amendment provides for increased interest and fees, additional restrictions on debt, investments, dividends, share repurchases and capital expenditures, and a minimum liquidity requirement.</w:t>
      </w:r>
    </w:p>
    <w:p>
      <w:pPr>
        <w:spacing w:after="0" w:line="97"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The Company may elect to terminate the Temporary Waiver Period prior to expiration. Upon expiration or termination of the Temporary Waiver Period, it will calculate compliance with the financial covenants in the Credit Agreement using a designated annualized calculation based on the Company’s most recently completed fiscal quarter or quarters, as applicable. Pursuant to the Amendment, the Company is required to use any proceeds from borrowings drawn during the Temporary Waiver Period to fund operating expenses, debt service of the Company and its subsidiaries, and permitted capital expenditures and investments.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INFORMATION CONCERNING GUARANTOR AND NON-GUARANTOR SUBSIDIARIES:</w:t>
      </w:r>
    </w:p>
    <w:p>
      <w:pPr>
        <w:spacing w:after="0" w:line="189"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The Company’s $400 million 5% senior notes and $700 million 4.75% senior notes were each issued by the Operating Partnership and RHP Finance Corporation, a Delaware corporation, and are guaranteed on a senior unsecured basis by the Company, each of the Company’s four wholly-owned subsidiaries that own the Gaylord Hotels properties, and certain other of the Company’s subsidiaries, each of which guarantees the Operating Partnership’s credit facility, as amended (such subsidiary guarantors, together with the Company, the “Guarantors”). The subsidiary Guarantors are 100% owned, and the guarantees are full and unconditional and joint and several. Not all of the Company’s subsidiaries have guaranteed the Company’s $400 million 5% senior notes and $700 million 4.75% senior notes.</w:t>
      </w:r>
    </w:p>
    <w:p>
      <w:pPr>
        <w:spacing w:after="0" w:line="137"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March 31, 2020</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w w:val="97"/>
              </w:rPr>
              <w:t>Property and equipment,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1,641,355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1,488,622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3,129,977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583,352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Trade receivables, less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allowance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78,952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2,142,311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(2,142,311)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2,949,445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708,341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2,040,163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(6,651,847)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3,532,855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4,492,081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4,174,122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(8,808,176)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4,344,802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Debt and finance lease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obligations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2,158,122</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793,766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2,951,888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Accounts payable and accrued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210,829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1,553,804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(2,142,311)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393,899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3,749,205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1,519,443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(2,156,329)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3,621,755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consolidated joint venture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1,185,885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266,031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2,894,831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2,843,451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(6,004,313)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(472,504)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1,481,712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(300,625)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(708,583)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(53,560)</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4,376,544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2,491,653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(6,651,847)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9"/>
              </w:rPr>
              <w:t>Total liabilities and equity</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3,532,855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4,492,081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4,174,122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(8,808,176)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4,344,802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December 31, 2019</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w w:val="99"/>
              </w:rPr>
              <w:t>Property and equipment, net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1,632,744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1,497,508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$ 3,130,252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restricted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income tax assets,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2,113,481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(2,113,481)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1,050,955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2,949,445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708,588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2,077,984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(6,786,972)</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1,050,984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3,162,369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4,454,406</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4,328,011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(8,907,302)</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$ 4,088,468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and finance lease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1,766,675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$ 2,559,968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w w:val="99"/>
              </w:rPr>
              <w:t>Accounts payable and accrued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244,734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1,514,770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243,217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(2,113,481)</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406,255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3,295,183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1,529,382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(2,120,330)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4"/>
              </w:rPr>
              <w:t>Commitments and contingencies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consolidated joint venture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1,185,168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2,894,830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2,843,450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(6,053,960)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1,185,168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(495,514)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1,447,837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(758,782)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(495,514)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644,729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(132,814)</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4,342,668</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2,577,118</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(6,786,972)</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1,050,984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3,162,369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4,454,406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4,328,011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(8,907,302)</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$ 4,088,468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March 31, 2020</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9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8"/>
              </w:rPr>
              <w:t>Guarantors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Guarantors</w:t>
            </w: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Rooms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106,128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106,128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145,750</w:t>
            </w: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64,741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(79,582)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w:t>
            </w:r>
          </w:p>
        </w:tc>
        <w:tc>
          <w:tcPr>
            <w:tcW w:w="0" w:type="dxa"/>
            <w:vAlign w:val="bottom"/>
          </w:tcPr>
          <w:p>
            <w:pPr>
              <w:spacing w:after="0"/>
              <w:rPr>
                <w:sz w:val="1"/>
                <w:szCs w:val="1"/>
                <w:color w:val="auto"/>
              </w:rPr>
            </w:pPr>
          </w:p>
        </w:tc>
      </w:tr>
      <w:tr>
        <w:trPr>
          <w:trHeight w:val="209"/>
        </w:trPr>
        <w:tc>
          <w:tcPr>
            <w:tcW w:w="33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64,741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328,410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(80,121)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313,030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32,308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83,811</w:t>
            </w: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12,442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155,067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(77,035)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90,474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09"/>
        </w:trPr>
        <w:tc>
          <w:tcPr>
            <w:tcW w:w="330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12,442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276,678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(77,035)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212,085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29,346</w:t>
            </w: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w w:val="99"/>
              </w:rPr>
              <w:t>Credit loss on held-to-maturity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53,345</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30,866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356,117</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(80,121)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308,280</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33,875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(27,707)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(20,401)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(29,358)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Loss from unconsolidated joint ventures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(20,201)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33,875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(36,569)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subsidiaries’ losses, net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(49,694)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(50,736)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(20,201)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33,875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(63,368)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00"/>
              <w:spacing w:after="0"/>
              <w:rPr>
                <w:sz w:val="20"/>
                <w:szCs w:val="20"/>
                <w:color w:val="auto"/>
              </w:rPr>
            </w:pPr>
            <w:r>
              <w:rPr>
                <w:rFonts w:ascii="Arial" w:cs="Arial" w:eastAsia="Arial" w:hAnsi="Arial"/>
                <w:sz w:val="18"/>
                <w:szCs w:val="18"/>
                <w:color w:val="auto"/>
                <w:w w:val="93"/>
              </w:rPr>
              <w:t>Comprehensive income (loss), net of taxes</w:t>
            </w: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(88,173)</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(33,887)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33,875</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(87,119)</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87,131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(88,173)</w:t>
            </w:r>
          </w:p>
        </w:tc>
        <w:tc>
          <w:tcPr>
            <w:tcW w:w="0" w:type="dxa"/>
            <w:vAlign w:val="bottom"/>
          </w:tcPr>
          <w:p>
            <w:pPr>
              <w:spacing w:after="0"/>
              <w:rPr>
                <w:sz w:val="1"/>
                <w:szCs w:val="1"/>
                <w:color w:val="auto"/>
              </w:rPr>
            </w:pPr>
          </w:p>
        </w:tc>
      </w:tr>
      <w:tr>
        <w:trPr>
          <w:trHeight w:val="155"/>
        </w:trPr>
        <w:tc>
          <w:tcPr>
            <w:tcW w:w="330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rPr>
              <w:t>Net income (loss) available to common</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(46,516)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(20,201)</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33,875</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(63,368)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49,694</w:t>
            </w:r>
          </w:p>
        </w:tc>
        <w:tc>
          <w:tcPr>
            <w:tcW w:w="14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(46,516)</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shareholders</w:t>
            </w: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100"/>
              <w:spacing w:after="0" w:line="195" w:lineRule="exact"/>
              <w:rPr>
                <w:sz w:val="20"/>
                <w:szCs w:val="20"/>
                <w:color w:val="auto"/>
              </w:rPr>
            </w:pPr>
            <w:r>
              <w:rPr>
                <w:rFonts w:ascii="Arial" w:cs="Arial" w:eastAsia="Arial" w:hAnsi="Arial"/>
                <w:sz w:val="18"/>
                <w:szCs w:val="18"/>
                <w:color w:val="auto"/>
                <w:w w:val="91"/>
              </w:rPr>
              <w:t>Comprehensive income (loss), net of taxes,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00" w:type="dxa"/>
            <w:vAlign w:val="bottom"/>
            <w:vMerge w:val="continue"/>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(75,344)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(33,887)</w:t>
            </w:r>
          </w:p>
        </w:tc>
        <w:tc>
          <w:tcPr>
            <w:tcW w:w="2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33,875</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5"/>
              </w:rPr>
              <w:t>(74,290)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74,302</w:t>
            </w:r>
          </w:p>
        </w:tc>
        <w:tc>
          <w:tcPr>
            <w:tcW w:w="140" w:type="dxa"/>
            <w:vAlign w:val="bottom"/>
          </w:tcPr>
          <w:p>
            <w:pPr>
              <w:spacing w:after="0"/>
              <w:rPr>
                <w:sz w:val="13"/>
                <w:szCs w:val="13"/>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(75,344)</w:t>
            </w:r>
          </w:p>
        </w:tc>
        <w:tc>
          <w:tcPr>
            <w:tcW w:w="0" w:type="dxa"/>
            <w:vAlign w:val="bottom"/>
          </w:tcPr>
          <w:p>
            <w:pPr>
              <w:spacing w:after="0"/>
              <w:rPr>
                <w:sz w:val="1"/>
                <w:szCs w:val="1"/>
                <w:color w:val="auto"/>
              </w:rPr>
            </w:pPr>
          </w:p>
        </w:tc>
      </w:tr>
      <w:tr>
        <w:trPr>
          <w:trHeight w:val="217"/>
        </w:trPr>
        <w:tc>
          <w:tcPr>
            <w:tcW w:w="3300" w:type="dxa"/>
            <w:vAlign w:val="bottom"/>
          </w:tcPr>
          <w:p>
            <w:pPr>
              <w:ind w:left="100"/>
              <w:spacing w:after="0"/>
              <w:rPr>
                <w:sz w:val="20"/>
                <w:szCs w:val="20"/>
                <w:color w:val="auto"/>
              </w:rPr>
            </w:pPr>
            <w:r>
              <w:rPr>
                <w:rFonts w:ascii="Arial" w:cs="Arial" w:eastAsia="Arial" w:hAnsi="Arial"/>
                <w:sz w:val="18"/>
                <w:szCs w:val="18"/>
                <w:color w:val="auto"/>
              </w:rPr>
              <w:t>available to common shareholders</w:t>
            </w:r>
          </w:p>
        </w:tc>
        <w:tc>
          <w:tcPr>
            <w:tcW w:w="2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March 31, 2019</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9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8"/>
              </w:rPr>
              <w:t>Guarantors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Guarantors</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Rooms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132,212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132,212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171,143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171,143</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80,410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(94,679)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34,155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0" w:type="dxa"/>
            <w:vAlign w:val="bottom"/>
          </w:tcPr>
          <w:p>
            <w:pPr>
              <w:spacing w:after="0"/>
              <w:rPr>
                <w:sz w:val="1"/>
                <w:szCs w:val="1"/>
                <w:color w:val="auto"/>
              </w:rPr>
            </w:pPr>
          </w:p>
        </w:tc>
      </w:tr>
      <w:tr>
        <w:trPr>
          <w:trHeight w:val="209"/>
        </w:trPr>
        <w:tc>
          <w:tcPr>
            <w:tcW w:w="334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80,410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385,568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(95,203)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370,775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34,969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12,052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169,982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(91,095)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90,939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09"/>
        </w:trPr>
        <w:tc>
          <w:tcPr>
            <w:tcW w:w="334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12,052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306,066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(91,095)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227,023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25,641</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53,009</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31,361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379,142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(95,203)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316,811</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53,964</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(23,839)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(32,087)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23,730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(23,730)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22,670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(24,282)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49,011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(23,730)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22,670</w:t>
            </w:r>
          </w:p>
        </w:tc>
        <w:tc>
          <w:tcPr>
            <w:tcW w:w="0" w:type="dxa"/>
            <w:vAlign w:val="bottom"/>
          </w:tcPr>
          <w:p>
            <w:pPr>
              <w:spacing w:after="0"/>
              <w:rPr>
                <w:sz w:val="1"/>
                <w:szCs w:val="1"/>
                <w:color w:val="auto"/>
              </w:rPr>
            </w:pPr>
          </w:p>
        </w:tc>
      </w:tr>
      <w:tr>
        <w:trPr>
          <w:trHeight w:val="197"/>
        </w:trPr>
        <w:tc>
          <w:tcPr>
            <w:tcW w:w="33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22,779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(24,282)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49,011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(23,839)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22,779</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Net income (loss) available to common</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vMerge w:val="continue"/>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29,408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(24,282)</w:t>
            </w:r>
          </w:p>
        </w:tc>
        <w:tc>
          <w:tcPr>
            <w:tcW w:w="2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49,011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(999)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8"/>
              </w:rPr>
              <w:t>(23,730)</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29,408</w:t>
            </w:r>
          </w:p>
        </w:tc>
        <w:tc>
          <w:tcPr>
            <w:tcW w:w="0" w:type="dxa"/>
            <w:vAlign w:val="bottom"/>
          </w:tcPr>
          <w:p>
            <w:pPr>
              <w:spacing w:after="0"/>
              <w:rPr>
                <w:sz w:val="1"/>
                <w:szCs w:val="1"/>
                <w:color w:val="auto"/>
              </w:rPr>
            </w:pPr>
          </w:p>
        </w:tc>
      </w:tr>
      <w:tr>
        <w:trPr>
          <w:trHeight w:val="237"/>
        </w:trPr>
        <w:tc>
          <w:tcPr>
            <w:tcW w:w="3340" w:type="dxa"/>
            <w:vAlign w:val="bottom"/>
          </w:tcPr>
          <w:p>
            <w:pPr>
              <w:ind w:left="100"/>
              <w:spacing w:after="0"/>
              <w:rPr>
                <w:sz w:val="20"/>
                <w:szCs w:val="20"/>
                <w:color w:val="auto"/>
              </w:rPr>
            </w:pPr>
            <w:r>
              <w:rPr>
                <w:rFonts w:ascii="Arial" w:cs="Arial" w:eastAsia="Arial" w:hAnsi="Arial"/>
                <w:sz w:val="18"/>
                <w:szCs w:val="18"/>
                <w:color w:val="auto"/>
              </w:rPr>
              <w:t>shareholders</w:t>
            </w:r>
          </w:p>
        </w:tc>
        <w:tc>
          <w:tcPr>
            <w:tcW w:w="22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Comprehensive income (loss), net of taxes,</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vMerge w:val="continue"/>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29,517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(24,282)</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49,011</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(23,839)</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29,517</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 to common shareholders</w:t>
            </w:r>
          </w:p>
        </w:tc>
        <w:tc>
          <w:tcPr>
            <w:tcW w:w="22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Three Months Ended March 31, 2020</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Non-</w:t>
            </w: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3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Guarantor</w:t>
            </w:r>
          </w:p>
        </w:tc>
        <w:tc>
          <w:tcPr>
            <w:tcW w:w="1100" w:type="dxa"/>
            <w:vAlign w:val="bottom"/>
            <w:gridSpan w:val="4"/>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 operating</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(15,826)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(54,299)</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(23,018)</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(22,236)</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Net borrowings under revolving credit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(50,078)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2"/>
              </w:rPr>
              <w:t>Payment of tax withholdings for share-based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(51,740)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398,644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346,844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6"/>
              </w:rPr>
              <w:t>Net change in cash, cash equivalents,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382,818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(76,595)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306,261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Cash, cash equivalents, and restricted cash,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219,830</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420,396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spacing w:after="0" w:line="182" w:lineRule="exact"/>
              <w:rPr>
                <w:sz w:val="20"/>
                <w:szCs w:val="20"/>
                <w:color w:val="auto"/>
              </w:rPr>
            </w:pPr>
            <w:r>
              <w:rPr>
                <w:rFonts w:ascii="Arial" w:cs="Arial" w:eastAsia="Arial" w:hAnsi="Arial"/>
                <w:sz w:val="18"/>
                <w:szCs w:val="18"/>
                <w:color w:val="auto"/>
                <w:w w:val="92"/>
              </w:rPr>
              <w:t>Cash, cash equivalents, and restricted cash,</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$ 583,352</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$ 143,235</w:t>
            </w:r>
          </w:p>
        </w:tc>
        <w:tc>
          <w:tcPr>
            <w:tcW w:w="48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726,657</w:t>
            </w:r>
          </w:p>
        </w:tc>
        <w:tc>
          <w:tcPr>
            <w:tcW w:w="0" w:type="dxa"/>
            <w:vAlign w:val="bottom"/>
          </w:tcPr>
          <w:p>
            <w:pPr>
              <w:spacing w:after="0"/>
              <w:rPr>
                <w:sz w:val="1"/>
                <w:szCs w:val="1"/>
                <w:color w:val="auto"/>
              </w:rPr>
            </w:pPr>
          </w:p>
        </w:tc>
      </w:tr>
      <w:tr>
        <w:trPr>
          <w:trHeight w:val="217"/>
        </w:trPr>
        <w:tc>
          <w:tcPr>
            <w:tcW w:w="332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2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4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Three Months Ended March 31, 2019</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Issuer</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94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cash provided by (used in) operating</w:t>
            </w: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(8,415)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(41,790)</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(48,873)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Investment in other joint ventures</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(42,019)</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w w:val="99"/>
              </w:rPr>
              <w:t>Net borrowings under revolving credit facility</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Borrowings under Gaylord Rockies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and mezzanine loans</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(44,420)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(44,420)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Payment of tax withholdings for share-based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(48,233)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cash, cash equivalents,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(3,817)</w:t>
            </w: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20"/>
              <w:spacing w:after="0" w:line="201" w:lineRule="exact"/>
              <w:rPr>
                <w:sz w:val="20"/>
                <w:szCs w:val="20"/>
                <w:color w:val="auto"/>
              </w:rPr>
            </w:pPr>
            <w:r>
              <w:rPr>
                <w:rFonts w:ascii="Arial" w:cs="Arial" w:eastAsia="Arial" w:hAnsi="Arial"/>
                <w:sz w:val="18"/>
                <w:szCs w:val="18"/>
                <w:color w:val="auto"/>
                <w:w w:val="99"/>
              </w:rPr>
              <w:t>Cash, cash equivalents, and restricted cash,</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148,297</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Cash, cash equivalents, and restricted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144,480</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146,816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2019, included in our Annual Report on Form 10-K that was filed with the SEC on February 25, 2020.</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left="60" w:right="59"/>
        <w:spacing w:after="0" w:line="266" w:lineRule="auto"/>
        <w:rPr>
          <w:sz w:val="20"/>
          <w:szCs w:val="20"/>
          <w:color w:val="auto"/>
        </w:rPr>
      </w:pPr>
      <w:r>
        <w:rPr>
          <w:rFonts w:ascii="Arial" w:cs="Arial" w:eastAsia="Arial" w:hAnsi="Arial"/>
          <w:sz w:val="17"/>
          <w:szCs w:val="17"/>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anticipated impact of the novel coronavirus (COVID-19) pandemic on travel, transient and group demand, the anticipated impact of the COVID-19 pandemic on our results of operations, collection of cancellation and attrition fees, cost containment efforts, efforts to rebook customers for later dates in 2020 and later years, and our plans for reopening of our Gaylord Hotels properties and other assets when the COVID-19 pandemic subsides; (ii) the effect of our election to be taxed as a REIT and maintain REIT status for federal income tax purposes; (iii) the holding of our non-qualifying REIT assets in one or more taxable REIT subsidiaries (“TRSs”); (iv) our announced dividend policy, including the frequency and amount of any dividend we may pay; (v)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and other contractual arrangements with third parties, including management agreements with Marriott; (ix) our pending acquisition of the Block 21 complex in Austin, Texas (“Block 21”); (x) our use of cash during the remainder of 2020; (xi) our ability to borrow available funds under our credit facility; and (xii) any other business or operational matters. We have based these forward-looking statements on our current expectations and projections about future events.</w:t>
      </w:r>
    </w:p>
    <w:p>
      <w:pPr>
        <w:spacing w:after="0" w:line="15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 including the effects of the COVID-19 pandemic on us and the hospitality and entertainment industries generally, the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effects of the COVID-19 pandemic on the demand for travel, transient and group business (including government-imposed restrictions), levels of consumer confidence in the safety of travel and group gathering as a result 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changes in interest rates, including future changes from LIBOR to a different base rate, and those factors described in this Quarterly Report on Form 10-Q and our Annual Report on Form 10-K for the year ended December 31, 2019 or described from time to time in our other reports filed with the SEC.</w:t>
      </w:r>
    </w:p>
    <w:p>
      <w:pPr>
        <w:spacing w:after="0" w:line="14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core holdings include a network of five upscale, meetings-focused resorts totaling 9,615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Gaylord Rockies, which is owned by the Gaylord Rockies joint venture, in which we own a 62.1% interest. Our other owned hotel assets managed by Marriott include the Inn at Opryland, an overflow hotel adjacent to Gaylord Opryland, and the AC Hotel at National Harbor, Washington D.C. (“AC Hotel”), an overflow hotel adjacent to Gaylord National.</w:t>
      </w:r>
    </w:p>
    <w:p>
      <w:pPr>
        <w:spacing w:after="0" w:line="15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We also own a 50% interest in a joint venture intended to create and distribute a linear multicast and over-the-top channel dedicated to the country music lifestyle (“Circle”).</w:t>
      </w:r>
    </w:p>
    <w:p>
      <w:pPr>
        <w:spacing w:after="0" w:line="154"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2019 for important information regarding forward-looking statements made in this report and risks and uncertainties we face.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85"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In March 2020, the World Health Organization declared the outbreak of a novel coronavirus disease (COVID-19) as a pandemic, which continues to spread throughout the United States. COVID-19 is having an unprecedented impact on the U.S. economy, and due to the COVID-19 pandemic, we have experienced disruption of our business and have suspended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operations of most of our assets. As a result, there is significant uncertainty surrounding the full extent of the impact of the COVID-19 pandemic on our future results of operations and financial position.</w:t>
      </w:r>
    </w:p>
    <w:p>
      <w:pPr>
        <w:spacing w:after="0" w:line="143"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late February 2020, when the gravity of the COVID-19 pandemic became apparent, we formed an internal task force, which included members of management and our board of directors, to formulate and implement responses to COVID-19. The task force, in consultation with local governmental authorities, first determined to close our Nashville-based entertainment venues on March 15, 2020.</w:t>
      </w:r>
    </w:p>
    <w:p>
      <w:pPr>
        <w:spacing w:after="0" w:line="14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As cancellations at our Gaylord Hotels properties began to increase, we, with our hotel manager, Marriott, implemented a series of operational changes, beginning with scaling back operations at the hotels to reflect reduced occupancy, closing food and beverage outlets, and reducing hourly staffing and culminating with the suspension of operations at our Gaylord Hotels properties beginning March 24, 2020. Hotel employees that were laid off or furloughed were generally paid the equivalent of one week of compensation, and benefits for hotel employees are being maintained through June 30. Our Gaylord Hotels properties, as well as substantially all of our entertainment assets remain closed, and our decision to reopen will be based on a number of factors and made in consultation with local health authorities. At this time, we do not anticipate resuming operations at our Gaylord Hotels properties prior to the end of May 2020.</w:t>
      </w:r>
    </w:p>
    <w:p>
      <w:pPr>
        <w:spacing w:after="0" w:line="125"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In our Entertainment segment, in addition to the closure of our entertainment assets, we have taken steps to reduce operating costs in all areas. We plan to continue to pay all full-time and part-time employees at our Company-managed properties through May 15, 2020.</w:t>
      </w:r>
    </w:p>
    <w:p>
      <w:pPr>
        <w:spacing w:after="0" w:line="157"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Our results for the three months ended March 31, 2020 include approximately $14.1 million of operating costs related to the COVID-19 pandemic, which is primarily comprised of employment costs.</w:t>
      </w:r>
    </w:p>
    <w:p>
      <w:pPr>
        <w:spacing w:after="0" w:line="13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i w:val="1"/>
          <w:iCs w:val="1"/>
          <w:color w:val="auto"/>
        </w:rPr>
        <w:t>Impact on Liquidity</w:t>
      </w:r>
      <w:r>
        <w:rPr>
          <w:rFonts w:ascii="Arial" w:cs="Arial" w:eastAsia="Arial" w:hAnsi="Arial"/>
          <w:sz w:val="17"/>
          <w:szCs w:val="17"/>
          <w:color w:val="auto"/>
        </w:rPr>
        <w:t>. We are also taking action to preserve liquidity. On March 17, 2020, we completed a $400 million draw</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existing $700 million revolving line of credit as a precaution to ensure funds are available to meet our obligations for a sustained period of time. At March 31, 2020, we had $299.1 million available for borrowing under our revolving credit facility and $662.2 million in unrestricted cash on hand, including the net proceeds of approximately $283 million from the underwritten public offering of shares of our common stock completed in fourth quarter 2019. In addition, following the payment of our first quarter 2020 dividend on April 15, 2020 to stockholders of record on March 31, 2020, we suspended our regular quarterly dividend payments for the remainder of 2020.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Any future dividend is subject to our board of director’s determinations as to the amount of distributions and the timing thereof.</w:t>
      </w:r>
    </w:p>
    <w:p>
      <w:pPr>
        <w:spacing w:after="0" w:line="141"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We have deferred approximately $82 million of non-essential capital projects, in addition to delaying the Gaylord Rockies expansion project, which was scheduled to begin construction in second quarter 2020. The Gaylord Palms expansion project is continuing, and we believe the expansion will allow us to serve groups moving meetings to 2021.</w:t>
      </w:r>
    </w:p>
    <w:p>
      <w:pPr>
        <w:spacing w:after="0" w:line="122"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Our smaller hotels, the Inn at Opryland and the AC Hotel, as well as Gaylord Springs, remain operational, and we currently have no plans to temporarily close these businesses. Revenues from these assets have been negligible during the COVID-19 pandemic.</w:t>
      </w:r>
    </w:p>
    <w:p>
      <w:pPr>
        <w:spacing w:after="0" w:line="143"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however, Marriott has suspended this obligation through August 2020.</w:t>
      </w:r>
    </w:p>
    <w:p>
      <w:pPr>
        <w:spacing w:after="0" w:line="117"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i w:val="1"/>
          <w:iCs w:val="1"/>
          <w:color w:val="auto"/>
        </w:rPr>
        <w:t>Impact on Operations</w:t>
      </w:r>
      <w:r>
        <w:rPr>
          <w:rFonts w:ascii="Arial" w:cs="Arial" w:eastAsia="Arial" w:hAnsi="Arial"/>
          <w:sz w:val="18"/>
          <w:szCs w:val="18"/>
          <w:color w:val="auto"/>
        </w:rPr>
        <w:t>. During the three months ended March 31, 2020, our Hospitality segment experienced total attrition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cancellations of approximately 680,000 net room nights, which we believe are attributable to COVID-19, representing approximately $143 million in revenue.</w:t>
      </w:r>
    </w:p>
    <w:p>
      <w:pPr>
        <w:spacing w:after="0" w:line="157"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We and Marriott’s sales teams have been working closely with our customers to rebook previously cancelled business. We have focused on offering flexibility rather than demanding attrition and cancellation payments in an effort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strengthen our relationships with our customers and meeting planners. The timing and manner at which we open each of our Gaylord Hotels properties and our Entertainment venues will vary by location. Our establishments will most likely undergo a phased reopening, and the customer mix at our Gaylord Hotels properties may be more heavily transient during this phased reopening than our historical trends.</w:t>
      </w:r>
    </w:p>
    <w:p>
      <w:pPr>
        <w:spacing w:after="0" w:line="160" w:lineRule="exact"/>
        <w:rPr>
          <w:sz w:val="20"/>
          <w:szCs w:val="20"/>
          <w:color w:val="auto"/>
        </w:rPr>
      </w:pPr>
    </w:p>
    <w:p>
      <w:pPr>
        <w:ind w:left="60" w:right="239"/>
        <w:spacing w:after="0" w:line="287" w:lineRule="auto"/>
        <w:rPr>
          <w:sz w:val="20"/>
          <w:szCs w:val="20"/>
          <w:color w:val="auto"/>
        </w:rPr>
      </w:pPr>
      <w:r>
        <w:rPr>
          <w:rFonts w:ascii="Arial" w:cs="Arial" w:eastAsia="Arial" w:hAnsi="Arial"/>
          <w:sz w:val="16"/>
          <w:szCs w:val="16"/>
          <w:i w:val="1"/>
          <w:iCs w:val="1"/>
          <w:color w:val="auto"/>
        </w:rPr>
        <w:t>Principal Debt Agreements</w:t>
      </w:r>
      <w:r>
        <w:rPr>
          <w:rFonts w:ascii="Arial" w:cs="Arial" w:eastAsia="Arial" w:hAnsi="Arial"/>
          <w:sz w:val="16"/>
          <w:szCs w:val="16"/>
          <w:color w:val="auto"/>
        </w:rPr>
        <w:t>. On April 23, 2020, we completed an amendment to the credit agreement governing our $700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revolving credit facility (of which $400.0 million was outstanding at March 31, 2020), $300 million term loan A facility and the original $500 million term loan B facility (of which $385.0 million was outstanding at March 31, 2020), which was obtained from a consortium of banks led by Wells Fargo Bank, National Association, as administrative agent. The amendment provides for a temporary waiver of financial covenants in the credit facility through March 31, 2021 and ending April 1, 2021 (unless terminated early by us at our option) and confirms the availability of the remaining $300.0 million of undrawn amounts under the revolving credit facility. During the waiver period, the amendment provides for increased interest and fees, additional restrictions on debt, investments, dividends, share repurchases and capital expenditures, and a minimum liquidity requirement. In addition, all borrowings under the revolving credit facility made during the waiver period may only be used for payment of operating expenses, debt service and certain other specified uses. For additional discussion of the amendment to our credit agreement, see “Principal Debt Agreements” below.</w:t>
      </w:r>
    </w:p>
    <w:p>
      <w:pPr>
        <w:spacing w:after="0" w:line="13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For additional discussion of the impact of the COVID-19 pandemic on our business, see “Risk Factors” under Part II, Item 1A of this Quarterly Report on Form 10-Q.</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98"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We own a 62.1% interest in the Gaylord Rockies joint venture. Our management has concluded that the Company is the primary beneficiary of this variable interest entity (“VIE”) and the financial position and results of operations of the VIE have been consolidated in the accompanying condensed consolidated financial statements included herein. Gaylord Rockies opened on a fully operational basis in first quarter 2019.</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8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In 2018, we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Expansion</w:t>
      </w:r>
    </w:p>
    <w:p>
      <w:pPr>
        <w:spacing w:after="0" w:line="18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February 2020, we and our joint venture partner in the Gaylord Rockies joint venture announced an $80 million expansion of Gaylord Rockies, which was intended to include an additional 317 guest rooms. The expansion was expected to begin in the second quarter of 2020, but, as discussed under “Impact of COVID-19” above, the expansion was deferred in response to the COVID-19 pandemic.</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Circle</w:t>
      </w:r>
    </w:p>
    <w:p>
      <w:pPr>
        <w:spacing w:after="0" w:line="19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2019, we acquired a 50% equity interest in Circle for an initial capital contribution of $2.0 million, and we contributed an additional $5.0 million through March 31, 2020. The joint venture agreement requires us to contribute up to an additional $8.0 million through December 31, 2021. Circle launched its broadcast network on January 1, 2020, with sixteen original shows and two major distribution partnerships that broadcast Circle in markets accessible to more than 50% of U.S. television households.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Block 21 Acquisition</w:t>
      </w:r>
    </w:p>
    <w:p>
      <w:pPr>
        <w:spacing w:after="0" w:line="18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In December 2019, we entered into an agreement (the “Block 21 Agreement”) to purchase Block 21, a mixed-use entertainment, lodging, office and retail complex located in Austin, Texas, for $275 million, which includes the assumption of approximately $141 million of existing mortgage debt. Block 21 is the home of the ACL Live at the Moody Theater, a 2,750-seat entertainment venue that serves as the filming location for the Austin City Limits television series. The Block 21 complex also includes the 251-room W Austin Hotel, the 350-seat 3TEN at ACL Live club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approximately 53,000 square feet of Class A commercial space. We paid a nonrefundable deposit of $15 million upon entry into the Block 21 Agreement, and the acquisition is subject to customary closing conditions, including, but not limited to, the consent to our assumption of the existing mortgage loan by the loan servicer. If the acquisition is completed, we intend to fund the acquisition with a portion of the proceeds from the underwritten public offering of 3.5 million shares of our common stock, at a price to the public of $85.60 per share, which we completed in December 2019 and which resulted in net proceeds of approximately $283 million, after deducting underwriters discounts and commissions and other expenses.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19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for the remainder of 2020, and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Strategic Plan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21"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i w:val="1"/>
          <w:iCs w:val="1"/>
          <w:color w:val="auto"/>
        </w:rPr>
        <w:t>Existing Hotel Property Design</w:t>
      </w:r>
      <w:r>
        <w:rPr>
          <w:rFonts w:ascii="Arial" w:cs="Arial" w:eastAsia="Arial" w:hAnsi="Arial"/>
          <w:sz w:val="17"/>
          <w:szCs w:val="17"/>
          <w:color w:val="auto"/>
        </w:rPr>
        <w:t>. Our Gaylord Hotels properties focus on the large group meetings market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3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i w:val="1"/>
          <w:iCs w:val="1"/>
          <w:color w:val="auto"/>
        </w:rPr>
        <w:t>Expansion of Hotel Asset Portfolio</w:t>
      </w:r>
      <w:r>
        <w:rPr>
          <w:rFonts w:ascii="Arial" w:cs="Arial" w:eastAsia="Arial" w:hAnsi="Arial"/>
          <w:sz w:val="16"/>
          <w:szCs w:val="16"/>
          <w:color w:val="auto"/>
        </w:rPr>
        <w:t>. While our pre-COVID 19 short-term capital allocation strategy has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returning capital to 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128"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named after the Shelton hit “Ol’ Red,” and we have invested in Circle as discussed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720" w:right="2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(including our investment in the Gaylord Rockies joint venture), the Inn at Opryland and the AC Hotel.</w:t>
      </w:r>
    </w:p>
    <w:p>
      <w:pPr>
        <w:spacing w:after="0" w:line="129" w:lineRule="exact"/>
        <w:rPr>
          <w:rFonts w:ascii="Arial" w:cs="Arial" w:eastAsia="Arial" w:hAnsi="Arial"/>
          <w:sz w:val="18"/>
          <w:szCs w:val="18"/>
          <w:color w:val="auto"/>
        </w:rPr>
      </w:pPr>
    </w:p>
    <w:p>
      <w:pPr>
        <w:ind w:left="720" w:right="6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Circle, and our other Nashville-based attractions.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For the three months ended March 31, 2020 and 2019, our total revenues were divided among these business segments as follows:</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170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42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9 %</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59"/>
        <w:spacing w:after="0" w:line="263" w:lineRule="auto"/>
        <w:rPr>
          <w:sz w:val="20"/>
          <w:szCs w:val="20"/>
          <w:color w:val="auto"/>
        </w:rPr>
      </w:pPr>
      <w:r>
        <w:rPr>
          <w:rFonts w:ascii="Arial" w:cs="Arial" w:eastAsia="Arial" w:hAnsi="Arial"/>
          <w:sz w:val="18"/>
          <w:szCs w:val="18"/>
          <w:color w:val="auto"/>
        </w:rPr>
        <w:t>As described above, our hotels and entertainment assets are currently closed, pending our decision to safely reopen facilities as discussed above. While facilities are closed, we expect negligible revenue, and we will incur expenses as described above under “Impact of COVID-19 Pandemic.”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98"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 allow investors to compare our performance with other companies in the hospitality REIT industry, and are used by management to evaluate hotel performance and allocate capital expenditures:</w:t>
      </w:r>
    </w:p>
    <w:p>
      <w:pPr>
        <w:spacing w:after="0" w:line="152"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21" w:lineRule="exact"/>
        <w:rPr>
          <w:rFonts w:ascii="Arial" w:cs="Arial" w:eastAsia="Arial" w:hAnsi="Arial"/>
          <w:sz w:val="16"/>
          <w:szCs w:val="16"/>
          <w:color w:val="auto"/>
        </w:rPr>
      </w:pPr>
    </w:p>
    <w:p>
      <w:pPr>
        <w:ind w:left="720" w:right="41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720" w:right="45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3" w:lineRule="exact"/>
        <w:rPr>
          <w:rFonts w:ascii="Arial" w:cs="Arial" w:eastAsia="Arial" w:hAnsi="Arial"/>
          <w:sz w:val="18"/>
          <w:szCs w:val="18"/>
          <w:color w:val="auto"/>
        </w:rPr>
      </w:pPr>
    </w:p>
    <w:p>
      <w:pPr>
        <w:jc w:val="both"/>
        <w:ind w:left="720" w:right="17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57"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For the three months ended March 31, 2020, the calculation of these indicators has not been changed as a result of the COVID-19 pandemic and the resulting hotel closures and is consistent with prior periods. The closure of our Gaylord Hotel properties has resulted in the significant decrease in performance reflected in these metrics for the three months ended March 31, 2020, as compared to the prior year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7"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4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following table contains our unaudited selected summary financial data for the three months ended March 31, 2020 and 2019. The table also shows the percentage relationships to total revenues and, in the case of segment operating income, its relationship to segment revenues (in thousands, except percentages).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99"/>
              </w:rPr>
              <w:t>Three Months Ended March 31,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r>
      <w:tr>
        <w:trPr>
          <w:trHeight w:val="196"/>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5540" w:type="dxa"/>
            <w:vAlign w:val="bottom"/>
            <w:gridSpan w:val="3"/>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106,128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33.9 %</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132,212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35.7 %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145,750</w:t>
            </w:r>
          </w:p>
        </w:tc>
        <w:tc>
          <w:tcPr>
            <w:tcW w:w="180" w:type="dxa"/>
            <w:vAlign w:val="bottom"/>
          </w:tcPr>
          <w:p>
            <w:pPr>
              <w:spacing w:after="0"/>
              <w:rPr>
                <w:sz w:val="17"/>
                <w:szCs w:val="17"/>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46.6 %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171,143</w:t>
            </w:r>
          </w:p>
        </w:tc>
        <w:tc>
          <w:tcPr>
            <w:tcW w:w="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46.2 %</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revenue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10.8 %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9.2 %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Entertainment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27,359</w:t>
            </w:r>
          </w:p>
        </w:tc>
        <w:tc>
          <w:tcPr>
            <w:tcW w:w="180" w:type="dxa"/>
            <w:vAlign w:val="bottom"/>
          </w:tcPr>
          <w:p>
            <w:pPr>
              <w:spacing w:after="0"/>
              <w:rPr>
                <w:sz w:val="17"/>
                <w:szCs w:val="17"/>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8.7 %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33,265</w:t>
            </w:r>
          </w:p>
        </w:tc>
        <w:tc>
          <w:tcPr>
            <w:tcW w:w="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9.0 %</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313,030</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36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4"/>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370,775</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4"/>
              </w:rPr>
              <w:t>%</w:t>
            </w:r>
          </w:p>
        </w:tc>
      </w:tr>
      <w:tr>
        <w:trPr>
          <w:trHeight w:val="193"/>
        </w:trPr>
        <w:tc>
          <w:tcPr>
            <w:tcW w:w="554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5"/>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10.3 %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9.4 %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83,811</w:t>
            </w:r>
          </w:p>
        </w:tc>
        <w:tc>
          <w:tcPr>
            <w:tcW w:w="180" w:type="dxa"/>
            <w:vAlign w:val="bottom"/>
          </w:tcPr>
          <w:p>
            <w:pPr>
              <w:spacing w:after="0"/>
              <w:rPr>
                <w:sz w:val="17"/>
                <w:szCs w:val="17"/>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26.8 %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91,359</w:t>
            </w:r>
          </w:p>
        </w:tc>
        <w:tc>
          <w:tcPr>
            <w:tcW w:w="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24.6 %</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28.9 %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24.5 %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Hotel management fees, net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5,492</w:t>
            </w:r>
          </w:p>
        </w:tc>
        <w:tc>
          <w:tcPr>
            <w:tcW w:w="180" w:type="dxa"/>
            <w:vAlign w:val="bottom"/>
          </w:tcPr>
          <w:p>
            <w:pPr>
              <w:spacing w:after="0"/>
              <w:rPr>
                <w:sz w:val="17"/>
                <w:szCs w:val="17"/>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1.8 %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9,756</w:t>
            </w:r>
          </w:p>
        </w:tc>
        <w:tc>
          <w:tcPr>
            <w:tcW w:w="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2.6 %</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9.4 %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6.9 %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8,136</w:t>
            </w:r>
          </w:p>
        </w:tc>
        <w:tc>
          <w:tcPr>
            <w:tcW w:w="180" w:type="dxa"/>
            <w:vAlign w:val="bottom"/>
          </w:tcPr>
          <w:p>
            <w:pPr>
              <w:spacing w:after="0"/>
              <w:rPr>
                <w:sz w:val="17"/>
                <w:szCs w:val="17"/>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2.6 %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9,004</w:t>
            </w:r>
          </w:p>
        </w:tc>
        <w:tc>
          <w:tcPr>
            <w:tcW w:w="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2.4 %</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Preopening costs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0.3 %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0.6 %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Gain on sale of assets</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(1,261)</w:t>
            </w: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Credit loss on held-to-maturity securities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1.9 %</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Hospitality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15.9 %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13.5 %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200"/>
              <w:spacing w:after="0"/>
              <w:rPr>
                <w:sz w:val="20"/>
                <w:szCs w:val="20"/>
                <w:color w:val="auto"/>
              </w:rPr>
            </w:pPr>
            <w:r>
              <w:rPr>
                <w:rFonts w:ascii="Arial" w:cs="Arial" w:eastAsia="Arial" w:hAnsi="Arial"/>
                <w:sz w:val="16"/>
                <w:szCs w:val="16"/>
                <w:color w:val="auto"/>
              </w:rPr>
              <w:t>Entertainment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3,105</w:t>
            </w:r>
          </w:p>
        </w:tc>
        <w:tc>
          <w:tcPr>
            <w:tcW w:w="180" w:type="dxa"/>
            <w:vAlign w:val="bottom"/>
          </w:tcPr>
          <w:p>
            <w:pPr>
              <w:spacing w:after="0"/>
              <w:rPr>
                <w:sz w:val="17"/>
                <w:szCs w:val="17"/>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1.0 %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2,479</w:t>
            </w:r>
          </w:p>
        </w:tc>
        <w:tc>
          <w:tcPr>
            <w:tcW w:w="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0.7 %</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0.2 %</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r>
      <w:tr>
        <w:trPr>
          <w:trHeight w:val="196"/>
        </w:trPr>
        <w:tc>
          <w:tcPr>
            <w:tcW w:w="2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depreciation and amortization</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53,345</w:t>
            </w: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6"/>
                <w:szCs w:val="16"/>
                <w:color w:val="auto"/>
              </w:rPr>
              <w:t>17.0 %</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53,009</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6"/>
                <w:szCs w:val="16"/>
                <w:color w:val="auto"/>
              </w:rPr>
              <w:t>14.3 %</w:t>
            </w:r>
          </w:p>
        </w:tc>
      </w:tr>
      <w:tr>
        <w:trPr>
          <w:trHeight w:val="196"/>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308,280</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98.5 %</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316,811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85.4 %</w:t>
            </w:r>
          </w:p>
        </w:tc>
      </w:tr>
      <w:tr>
        <w:trPr>
          <w:trHeight w:val="193"/>
        </w:trPr>
        <w:tc>
          <w:tcPr>
            <w:tcW w:w="5540" w:type="dxa"/>
            <w:vAlign w:val="bottom"/>
            <w:gridSpan w:val="3"/>
          </w:tcPr>
          <w:p>
            <w:pPr>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5"/>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Hospitality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8.3 %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60,354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17.9 %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Entertainment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(5,092)</w:t>
            </w: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(18.6)%</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5,145</w:t>
            </w:r>
          </w:p>
        </w:tc>
        <w:tc>
          <w:tcPr>
            <w:tcW w:w="16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15.5 %</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(8,607)</w:t>
            </w:r>
          </w:p>
        </w:tc>
        <w:tc>
          <w:tcPr>
            <w:tcW w:w="820" w:type="dxa"/>
            <w:vAlign w:val="bottom"/>
            <w:gridSpan w:val="2"/>
            <w:shd w:val="clear" w:color="auto" w:fill="CCEEFF"/>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(9,401)</w:t>
            </w:r>
          </w:p>
        </w:tc>
        <w:tc>
          <w:tcPr>
            <w:tcW w:w="800" w:type="dxa"/>
            <w:vAlign w:val="bottom"/>
            <w:gridSpan w:val="2"/>
            <w:shd w:val="clear" w:color="auto" w:fill="CCEEFF"/>
          </w:tcPr>
          <w:p>
            <w:pPr>
              <w:jc w:val="center"/>
              <w:ind w:right="239"/>
              <w:spacing w:after="0"/>
              <w:rPr>
                <w:sz w:val="20"/>
                <w:szCs w:val="20"/>
                <w:color w:val="auto"/>
              </w:rPr>
            </w:pPr>
            <w:r>
              <w:rPr>
                <w:rFonts w:ascii="Arial" w:cs="Arial" w:eastAsia="Arial" w:hAnsi="Arial"/>
                <w:sz w:val="16"/>
                <w:szCs w:val="16"/>
                <w:color w:val="auto"/>
              </w:rPr>
              <w:t>(A)</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Preopening costs</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(801)</w:t>
            </w: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(2,134)</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(0.6)%</w:t>
            </w:r>
          </w:p>
        </w:tc>
      </w:tr>
      <w:tr>
        <w:trPr>
          <w:trHeight w:val="203"/>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Gain on sale of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0.4 %</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03"/>
        </w:trPr>
        <w:tc>
          <w:tcPr>
            <w:tcW w:w="20" w:type="dxa"/>
            <w:vAlign w:val="bottom"/>
          </w:tcPr>
          <w:p>
            <w:pPr>
              <w:spacing w:after="0"/>
              <w:rPr>
                <w:sz w:val="17"/>
                <w:szCs w:val="17"/>
                <w:color w:val="auto"/>
              </w:rPr>
            </w:pPr>
          </w:p>
        </w:tc>
        <w:tc>
          <w:tcPr>
            <w:tcW w:w="5520" w:type="dxa"/>
            <w:vAlign w:val="bottom"/>
            <w:gridSpan w:val="2"/>
          </w:tcPr>
          <w:p>
            <w:pPr>
              <w:ind w:left="100"/>
              <w:spacing w:after="0"/>
              <w:rPr>
                <w:sz w:val="20"/>
                <w:szCs w:val="20"/>
                <w:color w:val="auto"/>
              </w:rPr>
            </w:pPr>
            <w:r>
              <w:rPr>
                <w:rFonts w:ascii="Arial" w:cs="Arial" w:eastAsia="Arial" w:hAnsi="Arial"/>
                <w:sz w:val="16"/>
                <w:szCs w:val="16"/>
                <w:color w:val="auto"/>
              </w:rPr>
              <w:t>Credit loss on held-to-maturity securities</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(5,828)</w:t>
            </w:r>
          </w:p>
        </w:tc>
        <w:tc>
          <w:tcPr>
            <w:tcW w:w="820" w:type="dxa"/>
            <w:vAlign w:val="bottom"/>
            <w:gridSpan w:val="2"/>
          </w:tcPr>
          <w:p>
            <w:pPr>
              <w:jc w:val="right"/>
              <w:ind w:right="13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operating income</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1.5 %</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53,964</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14.6 %</w:t>
            </w:r>
          </w:p>
        </w:tc>
      </w:tr>
      <w:tr>
        <w:trPr>
          <w:trHeight w:val="203"/>
        </w:trPr>
        <w:tc>
          <w:tcPr>
            <w:tcW w:w="554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(29,358)</w:t>
            </w:r>
          </w:p>
        </w:tc>
        <w:tc>
          <w:tcPr>
            <w:tcW w:w="820" w:type="dxa"/>
            <w:vAlign w:val="bottom"/>
            <w:gridSpan w:val="2"/>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(32,087)</w:t>
            </w:r>
          </w:p>
        </w:tc>
        <w:tc>
          <w:tcPr>
            <w:tcW w:w="800" w:type="dxa"/>
            <w:vAlign w:val="bottom"/>
            <w:gridSpan w:val="2"/>
          </w:tcPr>
          <w:p>
            <w:pPr>
              <w:jc w:val="center"/>
              <w:ind w:right="239"/>
              <w:spacing w:after="0"/>
              <w:rPr>
                <w:sz w:val="20"/>
                <w:szCs w:val="20"/>
                <w:color w:val="auto"/>
              </w:rPr>
            </w:pPr>
            <w:r>
              <w:rPr>
                <w:rFonts w:ascii="Arial" w:cs="Arial" w:eastAsia="Arial" w:hAnsi="Arial"/>
                <w:sz w:val="16"/>
                <w:szCs w:val="16"/>
                <w:color w:val="auto"/>
              </w:rPr>
              <w:t>(A)</w:t>
            </w:r>
          </w:p>
        </w:tc>
      </w:tr>
      <w:tr>
        <w:trPr>
          <w:trHeight w:val="203"/>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239"/>
              <w:spacing w:after="0"/>
              <w:rPr>
                <w:sz w:val="20"/>
                <w:szCs w:val="20"/>
                <w:color w:val="auto"/>
              </w:rPr>
            </w:pPr>
            <w:r>
              <w:rPr>
                <w:rFonts w:ascii="Arial" w:cs="Arial" w:eastAsia="Arial" w:hAnsi="Arial"/>
                <w:sz w:val="16"/>
                <w:szCs w:val="16"/>
                <w:color w:val="auto"/>
              </w:rPr>
              <w:t>(A)</w:t>
            </w:r>
          </w:p>
        </w:tc>
      </w:tr>
      <w:tr>
        <w:trPr>
          <w:trHeight w:val="203"/>
        </w:trPr>
        <w:tc>
          <w:tcPr>
            <w:tcW w:w="5540" w:type="dxa"/>
            <w:vAlign w:val="bottom"/>
            <w:gridSpan w:val="3"/>
          </w:tcPr>
          <w:p>
            <w:pPr>
              <w:spacing w:after="0"/>
              <w:rPr>
                <w:sz w:val="20"/>
                <w:szCs w:val="20"/>
                <w:color w:val="auto"/>
              </w:rPr>
            </w:pPr>
            <w:r>
              <w:rPr>
                <w:rFonts w:ascii="Arial" w:cs="Arial" w:eastAsia="Arial" w:hAnsi="Arial"/>
                <w:sz w:val="16"/>
                <w:szCs w:val="16"/>
                <w:color w:val="auto"/>
              </w:rPr>
              <w:t>Loss from unconsolidated joint ventures</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(1,895)</w:t>
            </w:r>
          </w:p>
        </w:tc>
        <w:tc>
          <w:tcPr>
            <w:tcW w:w="820" w:type="dxa"/>
            <w:vAlign w:val="bottom"/>
            <w:gridSpan w:val="2"/>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center"/>
              <w:ind w:right="239"/>
              <w:spacing w:after="0"/>
              <w:rPr>
                <w:sz w:val="20"/>
                <w:szCs w:val="20"/>
                <w:color w:val="auto"/>
              </w:rPr>
            </w:pPr>
            <w:r>
              <w:rPr>
                <w:rFonts w:ascii="Arial" w:cs="Arial" w:eastAsia="Arial" w:hAnsi="Arial"/>
                <w:sz w:val="16"/>
                <w:szCs w:val="16"/>
                <w:color w:val="auto"/>
              </w:rPr>
              <w:t>(A)</w:t>
            </w:r>
          </w:p>
        </w:tc>
      </w:tr>
      <w:tr>
        <w:trPr>
          <w:trHeight w:val="203"/>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gains and (losses),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(141)</w:t>
            </w:r>
          </w:p>
        </w:tc>
        <w:tc>
          <w:tcPr>
            <w:tcW w:w="800" w:type="dxa"/>
            <w:vAlign w:val="bottom"/>
            <w:gridSpan w:val="2"/>
            <w:shd w:val="clear" w:color="auto" w:fill="CCEEFF"/>
          </w:tcPr>
          <w:p>
            <w:pPr>
              <w:jc w:val="center"/>
              <w:ind w:right="239"/>
              <w:spacing w:after="0"/>
              <w:rPr>
                <w:sz w:val="20"/>
                <w:szCs w:val="20"/>
                <w:color w:val="auto"/>
              </w:rPr>
            </w:pPr>
            <w:r>
              <w:rPr>
                <w:rFonts w:ascii="Arial" w:cs="Arial" w:eastAsia="Arial" w:hAnsi="Arial"/>
                <w:sz w:val="16"/>
                <w:szCs w:val="16"/>
                <w:color w:val="auto"/>
              </w:rPr>
              <w:t>(A)</w:t>
            </w:r>
          </w:p>
        </w:tc>
      </w:tr>
      <w:tr>
        <w:trPr>
          <w:trHeight w:val="203"/>
        </w:trPr>
        <w:tc>
          <w:tcPr>
            <w:tcW w:w="554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(26,799)</w:t>
            </w:r>
          </w:p>
        </w:tc>
        <w:tc>
          <w:tcPr>
            <w:tcW w:w="820" w:type="dxa"/>
            <w:vAlign w:val="bottom"/>
            <w:gridSpan w:val="2"/>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(1,974)</w:t>
            </w:r>
          </w:p>
        </w:tc>
        <w:tc>
          <w:tcPr>
            <w:tcW w:w="800" w:type="dxa"/>
            <w:vAlign w:val="bottom"/>
            <w:gridSpan w:val="2"/>
          </w:tcPr>
          <w:p>
            <w:pPr>
              <w:jc w:val="center"/>
              <w:ind w:right="239"/>
              <w:spacing w:after="0"/>
              <w:rPr>
                <w:sz w:val="20"/>
                <w:szCs w:val="20"/>
                <w:color w:val="auto"/>
              </w:rPr>
            </w:pPr>
            <w:r>
              <w:rPr>
                <w:rFonts w:ascii="Arial" w:cs="Arial" w:eastAsia="Arial" w:hAnsi="Arial"/>
                <w:sz w:val="16"/>
                <w:szCs w:val="16"/>
                <w:color w:val="auto"/>
              </w:rPr>
              <w:t>(A)</w:t>
            </w:r>
          </w:p>
        </w:tc>
      </w:tr>
      <w:tr>
        <w:trPr>
          <w:trHeight w:val="196"/>
        </w:trPr>
        <w:tc>
          <w:tcPr>
            <w:tcW w:w="55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(50,736)</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2"/>
            <w:shd w:val="clear" w:color="auto" w:fill="CCEEFF"/>
          </w:tcPr>
          <w:p>
            <w:pPr>
              <w:jc w:val="center"/>
              <w:ind w:right="239"/>
              <w:spacing w:after="0"/>
              <w:rPr>
                <w:sz w:val="20"/>
                <w:szCs w:val="20"/>
                <w:color w:val="auto"/>
              </w:rPr>
            </w:pPr>
            <w:r>
              <w:rPr>
                <w:rFonts w:ascii="Arial" w:cs="Arial" w:eastAsia="Arial" w:hAnsi="Arial"/>
                <w:sz w:val="16"/>
                <w:szCs w:val="16"/>
                <w:color w:val="auto"/>
              </w:rPr>
              <w:t>(A)</w:t>
            </w:r>
          </w:p>
        </w:tc>
      </w:tr>
      <w:tr>
        <w:trPr>
          <w:trHeight w:val="203"/>
        </w:trPr>
        <w:tc>
          <w:tcPr>
            <w:tcW w:w="2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Net loss attributable to noncontrolling interest in consolidated joint venture</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6,738</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2"/>
          </w:tcPr>
          <w:p>
            <w:pPr>
              <w:jc w:val="center"/>
              <w:ind w:right="239"/>
              <w:spacing w:after="0"/>
              <w:rPr>
                <w:sz w:val="20"/>
                <w:szCs w:val="20"/>
                <w:color w:val="auto"/>
              </w:rPr>
            </w:pPr>
            <w:r>
              <w:rPr>
                <w:rFonts w:ascii="Arial" w:cs="Arial" w:eastAsia="Arial" w:hAnsi="Arial"/>
                <w:sz w:val="16"/>
                <w:szCs w:val="16"/>
                <w:color w:val="auto"/>
              </w:rPr>
              <w:t>(A)</w:t>
            </w: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income (loss) available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(46,516)</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center"/>
              <w:ind w:right="319"/>
              <w:spacing w:after="0"/>
              <w:rPr>
                <w:sz w:val="20"/>
                <w:szCs w:val="20"/>
                <w:color w:val="auto"/>
              </w:rPr>
            </w:pPr>
            <w:r>
              <w:rPr>
                <w:rFonts w:ascii="Arial" w:cs="Arial" w:eastAsia="Arial" w:hAnsi="Arial"/>
                <w:sz w:val="16"/>
                <w:szCs w:val="16"/>
                <w:color w:val="auto"/>
              </w:rPr>
              <w:t>(A)</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29,408</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right="239"/>
              <w:spacing w:after="0"/>
              <w:rPr>
                <w:sz w:val="20"/>
                <w:szCs w:val="20"/>
                <w:color w:val="auto"/>
              </w:rPr>
            </w:pPr>
            <w:r>
              <w:rPr>
                <w:rFonts w:ascii="Arial" w:cs="Arial" w:eastAsia="Arial" w:hAnsi="Arial"/>
                <w:sz w:val="16"/>
                <w:szCs w:val="16"/>
                <w:color w:val="auto"/>
              </w:rPr>
              <w:t>(A)</w:t>
            </w: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80" w:lineRule="exact"/>
        <w:rPr>
          <w:sz w:val="20"/>
          <w:szCs w:val="20"/>
          <w:color w:val="auto"/>
        </w:rPr>
      </w:pPr>
    </w:p>
    <w:p>
      <w:pPr>
        <w:jc w:val="center"/>
        <w:ind w:left="4420" w:right="739" w:hanging="4370"/>
        <w:spacing w:after="0" w:line="778"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ended March 31, 2020 and 2019 (in thousands, except percentages and per share data):</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500" w:type="dxa"/>
            <w:vAlign w:val="bottom"/>
            <w:vMerge w:val="restart"/>
          </w:tcPr>
          <w:p>
            <w:pPr>
              <w:spacing w:after="0"/>
              <w:rPr>
                <w:sz w:val="10"/>
                <w:szCs w:val="10"/>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0"/>
                <w:szCs w:val="10"/>
                <w:color w:val="auto"/>
              </w:rPr>
            </w:pP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58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$ 313,030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$ 370,775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308,280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316,811</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(50,736)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22,670</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(323.8)%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(258.2)%</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8"/>
              </w:rPr>
              <w:t>Net income (loss) available to common shareholders per share - diluted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(249.1)%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decrease in our total revenues for the three months ended March 31, 2020, as compared to the same period in 2019, is attributable to decreases in our Hospitality segment and Entertainment segment of $51.8 million and $5.9 million,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jc w:val="both"/>
        <w:ind w:left="60" w:right="179"/>
        <w:spacing w:after="0" w:line="259" w:lineRule="auto"/>
        <w:rPr>
          <w:sz w:val="20"/>
          <w:szCs w:val="20"/>
          <w:color w:val="auto"/>
        </w:rPr>
      </w:pPr>
      <w:r>
        <w:rPr>
          <w:rFonts w:ascii="Arial" w:cs="Arial" w:eastAsia="Arial" w:hAnsi="Arial"/>
          <w:sz w:val="18"/>
          <w:szCs w:val="18"/>
          <w:color w:val="auto"/>
        </w:rPr>
        <w:t>The decrease in our total operating expenses for the three months ended March 31, 2020, as compared to the same period in 2019, is primarily the result of a decrease in our Hospitality segment of $14.9 million, partially offset by an increase in our Entertainment segment of $3.7 million and a credit loss on held-to-maturity investments that did not occur in the prior year of $5.8 million.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Income (Loss)</w:t>
      </w:r>
    </w:p>
    <w:p>
      <w:pPr>
        <w:spacing w:after="0" w:line="18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Our net loss of $50.7 million for the three months ended March 31, 2020, as compared to net income of $22.7 million for the same period in 2019, was primarily due to the changes in our revenues and operating expenses reflected above, and the following factors, each as described more fully below:</w:t>
      </w:r>
    </w:p>
    <w:p>
      <w:pPr>
        <w:spacing w:after="0" w:line="143"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$24.8 million increase in the provision for income taxes in the 2020 period.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$2.7 million decrease in interest expense in the 2020 period.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$1.9 million loss from unconsolidated joint ventures in the 2020 period that did not occur in the 2019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Hospitality segment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 and 2019 (in thousands, except percentages and performance metrics):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50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1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00"/>
              <w:spacing w:after="0"/>
              <w:rPr>
                <w:sz w:val="20"/>
                <w:szCs w:val="20"/>
                <w:color w:val="auto"/>
              </w:rPr>
            </w:pPr>
            <w:r>
              <w:rPr>
                <w:rFonts w:ascii="Arial" w:cs="Arial" w:eastAsia="Arial" w:hAnsi="Arial"/>
                <w:sz w:val="15"/>
                <w:szCs w:val="15"/>
                <w:color w:val="auto"/>
              </w:rPr>
              <w:t>Rooms</w:t>
            </w:r>
          </w:p>
        </w:tc>
        <w:tc>
          <w:tcPr>
            <w:tcW w:w="1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106,128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95"/>
              </w:rPr>
              <w:t>132,212</w:t>
            </w: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145,750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171,143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Other hotel revenue</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33,793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34,155</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hospitality revenue</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285,671</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337,510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216"/>
        </w:trPr>
        <w:tc>
          <w:tcPr>
            <w:tcW w:w="4540" w:type="dxa"/>
            <w:vAlign w:val="bottom"/>
            <w:gridSpan w:val="3"/>
          </w:tcPr>
          <w:p>
            <w:pPr>
              <w:ind w:left="20"/>
              <w:spacing w:after="0"/>
              <w:rPr>
                <w:sz w:val="20"/>
                <w:szCs w:val="20"/>
                <w:color w:val="auto"/>
              </w:rPr>
            </w:pPr>
            <w:r>
              <w:rPr>
                <w:rFonts w:ascii="Arial" w:cs="Arial" w:eastAsia="Arial" w:hAnsi="Arial"/>
                <w:sz w:val="15"/>
                <w:szCs w:val="15"/>
                <w:color w:val="auto"/>
              </w:rPr>
              <w:t>Hospitality operating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32,308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00"/>
              <w:spacing w:after="0"/>
              <w:rPr>
                <w:sz w:val="20"/>
                <w:szCs w:val="20"/>
                <w:color w:val="auto"/>
              </w:rPr>
            </w:pPr>
            <w:r>
              <w:rPr>
                <w:rFonts w:ascii="Arial" w:cs="Arial" w:eastAsia="Arial" w:hAnsi="Arial"/>
                <w:sz w:val="15"/>
                <w:szCs w:val="15"/>
                <w:color w:val="auto"/>
              </w:rPr>
              <w:t>Food and beverage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83,811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91,359</w:t>
            </w: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90,474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00"/>
              <w:spacing w:after="0"/>
              <w:rPr>
                <w:sz w:val="20"/>
                <w:szCs w:val="20"/>
                <w:color w:val="auto"/>
              </w:rPr>
            </w:pPr>
            <w:r>
              <w:rPr>
                <w:rFonts w:ascii="Arial" w:cs="Arial" w:eastAsia="Arial" w:hAnsi="Arial"/>
                <w:sz w:val="15"/>
                <w:szCs w:val="15"/>
                <w:color w:val="auto"/>
              </w:rPr>
              <w:t>Management fees,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9,756</w:t>
            </w: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49,769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Hospitality operating expenses</w:t>
            </w:r>
          </w:p>
        </w:tc>
        <w:tc>
          <w:tcPr>
            <w:tcW w:w="16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261,854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277,156</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Hospitality operating income (1)(2)</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23,817</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60,354</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gridSpan w:val="3"/>
            <w:vMerge w:val="restart"/>
          </w:tcPr>
          <w:p>
            <w:pPr>
              <w:ind w:left="20"/>
              <w:spacing w:after="0"/>
              <w:rPr>
                <w:sz w:val="20"/>
                <w:szCs w:val="20"/>
                <w:color w:val="auto"/>
              </w:rPr>
            </w:pPr>
            <w:r>
              <w:rPr>
                <w:rFonts w:ascii="Arial" w:cs="Arial" w:eastAsia="Arial" w:hAnsi="Arial"/>
                <w:sz w:val="15"/>
                <w:szCs w:val="15"/>
                <w:color w:val="auto"/>
              </w:rPr>
              <w:t>Hospitality performance metrics:</w:t>
            </w: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gridSpan w:val="3"/>
            <w:vMerge w:val="continue"/>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Occupancy</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rPr>
              <w:t>57.1 %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72.3 %</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(15.2)pts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00"/>
              <w:spacing w:after="0"/>
              <w:rPr>
                <w:sz w:val="20"/>
                <w:szCs w:val="20"/>
                <w:color w:val="auto"/>
              </w:rPr>
            </w:pPr>
            <w:r>
              <w:rPr>
                <w:rFonts w:ascii="Arial" w:cs="Arial" w:eastAsia="Arial" w:hAnsi="Arial"/>
                <w:sz w:val="15"/>
                <w:szCs w:val="15"/>
                <w:color w:val="auto"/>
              </w:rPr>
              <w:t>ADR</w:t>
            </w:r>
          </w:p>
        </w:tc>
        <w:tc>
          <w:tcPr>
            <w:tcW w:w="1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202.09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201.07</w:t>
            </w: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RevPAR (3)</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115.36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00"/>
              <w:spacing w:after="0"/>
              <w:rPr>
                <w:sz w:val="20"/>
                <w:szCs w:val="20"/>
                <w:color w:val="auto"/>
              </w:rPr>
            </w:pPr>
            <w:r>
              <w:rPr>
                <w:rFonts w:ascii="Arial" w:cs="Arial" w:eastAsia="Arial" w:hAnsi="Arial"/>
                <w:sz w:val="15"/>
                <w:szCs w:val="15"/>
                <w:color w:val="auto"/>
              </w:rPr>
              <w:t>Total RevPAR (4)</w:t>
            </w:r>
          </w:p>
        </w:tc>
        <w:tc>
          <w:tcPr>
            <w:tcW w:w="1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310.51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370.93</w:t>
            </w: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Definite Group Room Nights Booked (5)</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(415,754)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273,453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8"/>
              </w:rPr>
              <w:t>(252.0)%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459" w:hanging="330"/>
        <w:spacing w:after="0" w:line="279"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Hospitality segment operating income does not include preopening costs of $0.1 million and $0.7 million in the three months ended March 31, 2020 and 2019, respectively. Hospitality segment operating income also does not include gain on sale of assets of $1.3 million and credit losses on held-to-maturity securities of $5.8 million in the three months ended March 31, 2020. See discussion of these items below.</w:t>
      </w:r>
    </w:p>
    <w:p>
      <w:pPr>
        <w:spacing w:after="0" w:line="144" w:lineRule="exact"/>
        <w:rPr>
          <w:rFonts w:ascii="Arial" w:cs="Arial" w:eastAsia="Arial" w:hAnsi="Arial"/>
          <w:sz w:val="17"/>
          <w:szCs w:val="17"/>
          <w:color w:val="auto"/>
        </w:rPr>
      </w:pPr>
    </w:p>
    <w:p>
      <w:pPr>
        <w:ind w:left="380" w:right="699" w:hanging="330"/>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Hospitality segment operating income includes approximately $10.3 million in expenses directly related to the COVID-19 pandemic, which are primarily employment costs.</w:t>
      </w:r>
    </w:p>
    <w:p>
      <w:pPr>
        <w:spacing w:after="0" w:line="129" w:lineRule="exact"/>
        <w:rPr>
          <w:rFonts w:ascii="Arial" w:cs="Arial" w:eastAsia="Arial" w:hAnsi="Arial"/>
          <w:sz w:val="18"/>
          <w:szCs w:val="18"/>
          <w:color w:val="auto"/>
        </w:rPr>
      </w:pPr>
    </w:p>
    <w:p>
      <w:pPr>
        <w:ind w:left="380" w:right="719" w:hanging="330"/>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spacing w:after="0" w:line="129" w:lineRule="exact"/>
        <w:rPr>
          <w:rFonts w:ascii="Arial" w:cs="Arial" w:eastAsia="Arial" w:hAnsi="Arial"/>
          <w:sz w:val="18"/>
          <w:szCs w:val="18"/>
          <w:color w:val="auto"/>
        </w:rPr>
      </w:pPr>
    </w:p>
    <w:p>
      <w:pPr>
        <w:ind w:left="380" w:right="219" w:hanging="330"/>
        <w:spacing w:after="0" w:line="26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56" w:lineRule="exact"/>
        <w:rPr>
          <w:rFonts w:ascii="Arial" w:cs="Arial" w:eastAsia="Arial" w:hAnsi="Arial"/>
          <w:sz w:val="18"/>
          <w:szCs w:val="18"/>
          <w:color w:val="auto"/>
        </w:rPr>
      </w:pPr>
    </w:p>
    <w:p>
      <w:pPr>
        <w:ind w:left="380" w:right="179" w:hanging="330"/>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definite group room nights booked includes approximately 600,000 group room cancellations in the three months ended March 31, 2020.</w:t>
      </w:r>
    </w:p>
    <w:p>
      <w:pPr>
        <w:spacing w:after="0" w:line="130" w:lineRule="exact"/>
        <w:rPr>
          <w:sz w:val="20"/>
          <w:szCs w:val="20"/>
          <w:color w:val="auto"/>
        </w:rPr>
      </w:pPr>
    </w:p>
    <w:p>
      <w:pPr>
        <w:ind w:left="60" w:right="739"/>
        <w:spacing w:after="0" w:line="279" w:lineRule="auto"/>
        <w:rPr>
          <w:sz w:val="20"/>
          <w:szCs w:val="20"/>
          <w:color w:val="auto"/>
        </w:rPr>
      </w:pPr>
      <w:r>
        <w:rPr>
          <w:rFonts w:ascii="Arial" w:cs="Arial" w:eastAsia="Arial" w:hAnsi="Arial"/>
          <w:sz w:val="17"/>
          <w:szCs w:val="17"/>
          <w:color w:val="auto"/>
        </w:rPr>
        <w:t>Total Hospitality segment revenues in the three months ended March 31, 2020 include $5.6 million in attrition and cancellation fee collections, an increase of $3.0 million from the 2019 period. In an effort to maintain our strong relationship with meeting planners, we intend to work with these meeting planners to defer additional attrition and cancellation fees attributable to the COVID-19 pandemic to deposits for future stays.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48"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Three Months Ended</w:t>
      </w:r>
    </w:p>
    <w:p>
      <w:pPr>
        <w:ind w:left="67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21 %</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22 %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hotel expenses for the three months ended March 31, 2020 and 2019 consist of the following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0"/>
                <w:szCs w:val="10"/>
                <w:color w:val="auto"/>
              </w:rPr>
            </w:pPr>
          </w:p>
        </w:tc>
        <w:tc>
          <w:tcPr>
            <w:tcW w:w="54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35,989</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Utilities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7,374</w:t>
            </w:r>
          </w:p>
        </w:tc>
        <w:tc>
          <w:tcPr>
            <w:tcW w:w="22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38,470</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90,939</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ended March 31, 2020, as compared to the same period in 2019, primarily due to an increase at Gaylord National related to unionized labor costs. Utility costs decreased during the three months ended March 31, 2020, as compared to the same period in 2019, primarily due to decreases at Gaylord National and Gaylord Palms due to lower usage. Property taxes increased slightly during the three months ended March 31, 2020, as compared to the 2019 period. Other expenses, which include supplies, advertising, maintenance costs and consulting costs, decreased during the three months ended March 31, 2020, as compared to the same period in 2019, primarily as a result of various decreases at Gaylord Opryland, Gaylord Texan and Gaylord National, which were aided by cost containment initiatives as a result of the COVID-19 pandemic.</w:t>
      </w:r>
    </w:p>
    <w:p>
      <w:pPr>
        <w:spacing w:after="0" w:line="14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Each of our management agreements with Marriott for our four owned Gaylord Hotels properties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March 31, 2020 and 2019, we incurred $6.3 million and $7.2 million, respectively, related to base management fees for our Hospitality segment and $0 and $3.3 million, respectively,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5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Total Hospitality segment depreciation and amortization expense decreased slightly in the three months ended March 31, 2020, as compared to the same period in 2019.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i w:val="1"/>
          <w:iCs w:val="1"/>
          <w:color w:val="auto"/>
        </w:rPr>
        <w:t xml:space="preserve">Property-Level Results. </w:t>
      </w:r>
      <w:r>
        <w:rPr>
          <w:rFonts w:ascii="Arial" w:cs="Arial" w:eastAsia="Arial" w:hAnsi="Arial"/>
          <w:sz w:val="16"/>
          <w:szCs w:val="16"/>
          <w:color w:val="auto"/>
        </w:rPr>
        <w:t>The following presents the property-level financial results of our Hospitality segment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2020 and 2019. The Gaylord Hotels properties experienced higher levels of attrition and cancellations which we believe are directly related to the COVID-19 pandemic starting in late February 2020 through the closures beginning on March 24, 2020. Therefore, the property-level financial results for the three months ended March 31, 2020 are not comparable to the prior year period. Total revenue at each of our Gaylord Hotels properties was lower than anticipated for the three months ended March 31, 2020 due to the COVID-19 pandemic. Operating costs at each of our Gaylord Hotels properties were lower for the three months ended March 31, 2020 as a result of cost containment initiatives and the property closures beginning March 24, 2020 due to the COVID-19 pandemic.</w:t>
      </w:r>
    </w:p>
    <w:p>
      <w:pPr>
        <w:spacing w:after="0" w:line="13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ended March 31, 2020 and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54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30,870</w:t>
            </w:r>
          </w:p>
        </w:tc>
        <w:tc>
          <w:tcPr>
            <w:tcW w:w="1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36,934</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21,522</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3,171</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0"/>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63,383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67,157</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metrics: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60.4 %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74.2 %</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(13.8)pts</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117.46</w:t>
            </w:r>
          </w:p>
        </w:tc>
        <w:tc>
          <w:tcPr>
            <w:tcW w:w="1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142.10</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479" w:hanging="330"/>
        <w:spacing w:after="0" w:line="342"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Gaylord Opryland operating expenses do not include preopening costs of $0.1 million for the three months ended March 31, 2019 and a gain on sale of assets of $1.3 million in the three months ended March 31, 2020.</w:t>
      </w:r>
    </w:p>
    <w:p>
      <w:pPr>
        <w:spacing w:after="0" w:line="124"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Rooms revenue and RevPAR were negatively impacted during the 2019 period by a rooms renovation project, which resulted in approximately 15,700 room nights out of service. The rooms renovation project was completed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ended March 31, 2020 and 2019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6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17,468</w:t>
            </w:r>
          </w:p>
        </w:tc>
        <w:tc>
          <w:tcPr>
            <w:tcW w:w="1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22,502</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hotel revenue</w:t>
            </w:r>
          </w:p>
        </w:tc>
        <w:tc>
          <w:tcPr>
            <w:tcW w:w="1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11,987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14,377</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1,630</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38,196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42,316</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82.8 %</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(20.2)pts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135.56</w:t>
            </w:r>
          </w:p>
        </w:tc>
        <w:tc>
          <w:tcPr>
            <w:tcW w:w="1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176.57</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79" w:hanging="330"/>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Gaylord Palms operating expenses do not include preopening costs of $0.1 million in the three months ended March 31, 2020. See discussion of these items below.</w:t>
      </w:r>
    </w:p>
    <w:p>
      <w:pPr>
        <w:spacing w:after="0" w:line="34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ended March 31, 2020 and 2019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6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Rooms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19,026</w:t>
            </w:r>
          </w:p>
        </w:tc>
        <w:tc>
          <w:tcPr>
            <w:tcW w:w="1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25,205</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29,255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hotel revenue</w:t>
            </w:r>
          </w:p>
        </w:tc>
        <w:tc>
          <w:tcPr>
            <w:tcW w:w="1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55,996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72,039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15,090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18,237</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15,693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Management fees, net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2,293</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40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42,617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49,685</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56.3 %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77.9 %</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(21.6)pts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RevPAR</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115.26</w:t>
            </w:r>
          </w:p>
        </w:tc>
        <w:tc>
          <w:tcPr>
            <w:tcW w:w="1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154.39</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339.22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ended March 31, 2020 and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6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19,528</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28,226</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hotel revenue</w:t>
            </w:r>
          </w:p>
        </w:tc>
        <w:tc>
          <w:tcPr>
            <w:tcW w:w="1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20,537</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59,396</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72.0 %</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(20.1)pts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107.51</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157.12</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19" w:hanging="330"/>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Gaylord National operating expenses do not include credit losses on held-to-maturity securities of $5.8 million in the three months ended March 31, 2020. See discussion of this item below.</w:t>
      </w:r>
    </w:p>
    <w:p>
      <w:pPr>
        <w:spacing w:after="0" w:line="170"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ended March 31, 2020 and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5840" w:type="dxa"/>
            <w:vAlign w:val="bottom"/>
          </w:tcPr>
          <w:p>
            <w:pPr>
              <w:ind w:left="20"/>
              <w:spacing w:after="0" w:line="196" w:lineRule="exact"/>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15,930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8.1 %</w:t>
            </w: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32,568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26,234</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24.1 %</w:t>
            </w: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revenue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43.0 %</w:t>
            </w: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54,598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45,243</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20.7 %</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Rooms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5,045</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7.4 %</w:t>
            </w: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10,324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8,716</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18.4 %</w:t>
            </w: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18.8 %</w:t>
            </w: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22,609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22,461</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0.7 %</w:t>
            </w:r>
          </w:p>
        </w:tc>
      </w:tr>
      <w:tr>
        <w:trPr>
          <w:trHeight w:val="21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 (1)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56,875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53,813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5.7 %</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Performance metrics: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Occupancy</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 pts</w:t>
            </w: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ADR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203.31</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196.81</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3.3 %</w:t>
            </w: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RevPAR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116.63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6.9 %</w:t>
            </w: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Total RevPAR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399.72</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334.91</w:t>
            </w:r>
          </w:p>
        </w:tc>
        <w:tc>
          <w:tcPr>
            <w:tcW w:w="2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1" w:lineRule="exact"/>
        <w:rPr>
          <w:sz w:val="20"/>
          <w:szCs w:val="20"/>
          <w:color w:val="auto"/>
        </w:rPr>
      </w:pPr>
    </w:p>
    <w:p>
      <w:pPr>
        <w:ind w:left="380" w:right="139" w:hanging="330"/>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Gaylord Rockies operating expenses do not include preopening costs of $0.7 million in the three months ended March 31, 2019. See discussion of these items below.</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98"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Due to the COVID-19 pandemic, we closed our Entertainment segment assets on March 15,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Therefore, the Entertainment segment financial results for the three months ended March 31, 2020 are not comparable to the prior year period. The following presents the financial results of our Entertainment segment for the three months ended March 31, 2020 and 2019 (in thousands, except percentages):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center"/>
              <w:ind w:left="336"/>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58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27,359</w:t>
            </w: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expenses</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29,346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25,641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3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1"/>
              </w:rPr>
              <w:t>Operating income (loss) (1)(2)</w:t>
            </w:r>
          </w:p>
        </w:tc>
        <w:tc>
          <w:tcPr>
            <w:tcW w:w="38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(5,092)</w:t>
            </w:r>
          </w:p>
        </w:tc>
        <w:tc>
          <w:tcPr>
            <w:tcW w:w="200" w:type="dxa"/>
            <w:vAlign w:val="bottom"/>
            <w:gridSpan w:val="2"/>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5,145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19" w:hanging="330"/>
        <w:spacing w:after="0" w:line="308"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Entertainment segment operating income (loss) does not include preopening costs of $0.7 million and $1.4 million in the three months ended March 31, 2020 and 2019, respectively. See discussion of these items below.</w:t>
      </w:r>
    </w:p>
    <w:p>
      <w:pPr>
        <w:spacing w:after="0" w:line="105" w:lineRule="exact"/>
        <w:rPr>
          <w:rFonts w:ascii="Arial" w:cs="Arial" w:eastAsia="Arial" w:hAnsi="Arial"/>
          <w:sz w:val="17"/>
          <w:szCs w:val="17"/>
          <w:color w:val="auto"/>
        </w:rPr>
      </w:pPr>
    </w:p>
    <w:p>
      <w:pPr>
        <w:ind w:left="380" w:right="11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Entertainment segment operating income (loss) includes approximately $3.7 million in expenses directly related to the COVID-19 pandemic, which are primarily employment costs.</w:t>
      </w:r>
    </w:p>
    <w:p>
      <w:pPr>
        <w:spacing w:after="0" w:line="143"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Entertainment segment total revenue decreased for the three months ended March 31, 2020, as compared to the prior year period, due to the COVID-19 pandemic. Entertainment segment operating expenses increased for the three months ended March 31, 2020, as compared to the 2019 period, primarily due to operating expenses for Ole Red Gatlinburg and increased cost of sales associated with content development. These increases were partially offset by cost containment initiatives and the property closures due to the COVID-19 pandemic.</w:t>
      </w:r>
    </w:p>
    <w:p>
      <w:pPr>
        <w:spacing w:after="0" w:line="13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Entertainment segment depreciation and amortization expense increased in the three months ended March 31, 2020, as compared to the prior year period, primarily as a result of Ole Red Gatlinburg and capital improvements at the Grand Ole Opry House to improve the customer experience, each resulting in increased depreciable asset levels.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98" w:lineRule="exact"/>
        <w:rPr>
          <w:sz w:val="20"/>
          <w:szCs w:val="20"/>
          <w:color w:val="auto"/>
        </w:rPr>
      </w:pPr>
    </w:p>
    <w:p>
      <w:pPr>
        <w:ind w:left="60" w:right="1019"/>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and 2019 (in thousands, except percentages):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left="337"/>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Depreciation and amortization</w:t>
            </w:r>
          </w:p>
        </w:tc>
        <w:tc>
          <w:tcPr>
            <w:tcW w:w="3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3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59" w:hanging="330"/>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segment operating loss includes approximately $0.2 million in expenses directly related to the COVID-19 pandemic, which are primarily employment costs.</w:t>
      </w:r>
    </w:p>
    <w:p>
      <w:pPr>
        <w:spacing w:after="0" w:line="130"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Corporate and Other operating expenses consist primarily of costs associated with senior management salaries and benefits, legal, human resources, accounting, pension, information technology and other administrative costs. Corporate and Other segment operating expenses decreased in the three months ended March 31, 2020, as compared to the prior year period, primarily as a result of cost containment efforts, including the deferral of compensation increases for each of our vice president and higher positions, and the deferral of 50% of the salary for our chief executive officer.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9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Preopening costs of $0.8 million during the three months ended March 31, 2020 primarily include costs associated with Ole Red Orlando, which was scheduled to open in April 2020, and has been postponed as a result of the COVID-19 pandemic, and the Gaylord Palms expansion, which is expected to be completed in summer 2021. Preopening costs of $2.1 million during the three months ended March 31, 2019 primarily include costs associated with Ole Red Gatlinburg, which opened in March 2019, and Gaylord Rockies, which opened on a fully operational basis in first quarter 2019.</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Gain on Sale of Assets</w:t>
      </w:r>
    </w:p>
    <w:p>
      <w:pPr>
        <w:spacing w:after="0" w:line="18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Gain on sale of assets of $1.3 million during the three months ended March 31, 2020 includes the sale of certain items at Gaylord Opryland.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Credit Losses on Held-to-Maturity Securities</w:t>
      </w:r>
    </w:p>
    <w:p>
      <w:pPr>
        <w:spacing w:after="0" w:line="18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Credit losses on held-to-maturity securities of $5.8 million during the three months ended March 31, 2020 relate to the bonds we received in 2008 related to the Gaylord National construction, which we hold as notes receivable. See further discussion regarding these credit losses in Note 6, “Notes Receivable,” to the condensed consolidated financial statements included herein.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other factors which affected our net income for the three months ended March 31,</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 and 2019 (in thousands, except percentages):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gridSpan w:val="4"/>
          </w:tcPr>
          <w:p>
            <w:pPr>
              <w:jc w:val="center"/>
              <w:ind w:left="642"/>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420" w:type="dxa"/>
            <w:vAlign w:val="bottom"/>
            <w:vMerge w:val="restart"/>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200" w:type="dxa"/>
            <w:vAlign w:val="bottom"/>
            <w:vMerge w:val="restart"/>
          </w:tcPr>
          <w:p>
            <w:pPr>
              <w:spacing w:after="0"/>
              <w:rPr>
                <w:sz w:val="10"/>
                <w:szCs w:val="10"/>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74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29,358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32,087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income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2,371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2,908</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joint ventures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238.3 %</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(1,257.6)%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Interest expense decreased $2.7 million during the three months ended March 31, 2020, as compared to the same period in 2019, due primarily to lower average borrowings and lower interest rates under our credit facility in the 2020 period, partially offset by increased principal balances outstanding under our senior notes.</w:t>
      </w:r>
    </w:p>
    <w:p>
      <w:pPr>
        <w:spacing w:after="0" w:line="143"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Cash interest expense decreased $2.5 million to $28.2 million in the three months ended March 31, 2020, as compared to the same period in 2019. Non-cash interest expense, which includes amortization of deferred financing costs and the effects of interest rate swaps, and is offset by capitalized interest, decreased $0.2 million to $1.2 million in the three months ended March 31, 2020, as compared to the same period in 2019.</w:t>
      </w:r>
    </w:p>
    <w:p>
      <w:pPr>
        <w:spacing w:after="0" w:line="14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Our weighted average interest rate on our borrowings, excluding the write-off of deferred financing costs and capitalized interest, was 4.5% and 5.2% for the three months ended March 31, 2020 and 2019,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Interest income for the three months ended March 31, 2020 and 2019 primarily includes amounts earned on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198"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loss from unconsolidated joint ventures for the three months ended March 31, 2020 represents our equity method share of losses associated with Circle.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gains and (losses), net for the three months ended March 31, 2020 and 2019 represents various miscellaneous items.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3"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For the three months ended March 31, 2020, we recorded an income tax provision of $26.8 million. The provision was primarily due to recording a valuation allowance of $26.7 million in the period, as discussed in Note 12, “Income Taxes,” to the condensed consolidated financial statements included herein. We also recorded income tax expense of $0.1 million, inclusive of valuation allowance, related to the current period operations.</w:t>
      </w:r>
    </w:p>
    <w:p>
      <w:pPr>
        <w:spacing w:after="0" w:line="144"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For the three months ended March 31, 2019, we recorded an income tax provision of $2.0 million, which differed from the statutory rate primarily due to the REIT dividends paid deduction in the period.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Cash flow from operating activities is the principal source of cash used to fund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interest payments on debt, maintenance capital expenditures, and dividends to stockholders. During the three months ended March 31, 2020, our net cash flows provided by operating activities were $4.7 million, primarily reflecting cash provided by our income before depreciation expense, amortization expense and other non-cash charges of approximately $41.0 million, partially offset by unfavorable changes in working capital of approximately $36.3 million. The unfavorable changes in working capital primarily resulted from a decrease in accounts payable and accrued liabilities associated with the payment of accrued property taxes and incentive compensation and an increase in accounts receivable due to a seasonal change in the timing of payments received from corporate group customers at our Gaylord Hotels properties.</w:t>
      </w:r>
    </w:p>
    <w:p>
      <w:pPr>
        <w:spacing w:after="0" w:line="16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During the three months ended March 31, 2019, our net cash flows provided by operating activities were $54.6 million, primarily reflecting cash provided by our income before depreciation expense, amortization expense and other non-cash charges of approximately $80.7 million, partially offset by unfavorable changes in working capital of approximately $26.2 million. The unfavorable changes in working capital primarily resulted from an increase in accounts receivable due to a seasonal change in the timing of payments received from corporate group customers at our Gaylord Hotels properties, as well as Gaylord Rockies becoming fully operational in 2019, partially offset by an increase in accrued interest associated with our outstanding debt and an increase in deferred revenue, primarily attributable to the timing of advanced payments received on upcoming hotel stays and ticketed events at our entertainment venues.</w:t>
      </w:r>
    </w:p>
    <w:p>
      <w:pPr>
        <w:spacing w:after="0" w:line="125"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During the three months ended March 31, 2020, our primary uses of funds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were purchases of property and equipment, which totaled $43.2 million, and consisted primarily of the expansion of Gaylord Palms and ongoing maintenance capital expenditures for our existing properties.</w:t>
      </w:r>
    </w:p>
    <w:p>
      <w:pPr>
        <w:spacing w:after="0" w:line="125"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During the three months ended March 31, 2019, our primary uses of funds for investing activities were purchases of property and equipment, which totaled $48.9 million and consisted primarily of construction costs at Gaylord Rockies, a rooms renovation at Gaylord Opryland, construction of SoundWaves at Gaylord Opryland, the expansion at Gaylord Palms, and ongoing maintenance capital expenditures for our existing properties.</w:t>
      </w:r>
    </w:p>
    <w:p>
      <w:pPr>
        <w:spacing w:after="0" w:line="144"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i w:val="1"/>
          <w:iCs w:val="1"/>
          <w:color w:val="auto"/>
        </w:rPr>
        <w:t>Cash Flows From Financing Activities</w:t>
      </w:r>
      <w:r>
        <w:rPr>
          <w:rFonts w:ascii="Arial" w:cs="Arial" w:eastAsia="Arial" w:hAnsi="Arial"/>
          <w:sz w:val="16"/>
          <w:szCs w:val="16"/>
          <w:color w:val="auto"/>
        </w:rPr>
        <w:t>. Our cash flows from financing activities primarily reflect the incurrence of debt,</w:t>
      </w:r>
      <w:r>
        <w:rPr>
          <w:rFonts w:ascii="Arial" w:cs="Arial" w:eastAsia="Arial" w:hAnsi="Arial"/>
          <w:sz w:val="16"/>
          <w:szCs w:val="16"/>
          <w:i w:val="1"/>
          <w:iCs w:val="1"/>
          <w:color w:val="auto"/>
        </w:rPr>
        <w:t xml:space="preserve"> </w:t>
      </w:r>
      <w:r>
        <w:rPr>
          <w:rFonts w:ascii="Arial" w:cs="Arial" w:eastAsia="Arial" w:hAnsi="Arial"/>
          <w:sz w:val="16"/>
          <w:szCs w:val="16"/>
          <w:color w:val="auto"/>
        </w:rPr>
        <w:t>the repayment of long-term debt and the payment of cash dividends. During the three months ended March 31, 2020,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net cash flows provided by financing activities were $346.8 million, primarily reflecting $400.0 million in borrowings under our revolving credit agreement, partially offset by the payment of $50.1 million in cash dividends.</w:t>
      </w:r>
    </w:p>
    <w:p>
      <w:pPr>
        <w:spacing w:after="0" w:line="97"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During the three months ended March 31, 2019, our net cash flows used in financing activities were $7.7 million, primarily reflecting the payment of $44.4 in cash dividends, partially offset by increased borrowings under the previous Gaylord Rockies construction and mezzanine loans of $28.9 million and net borrowings under our revolving credit facility of $10.0 million.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At March 31, 2020, we had $662.2 million in unrestricted cash (including $400.0 million borrowed under our revolving credit facility on March 17, 2020) and $299.1 million available for borrowing under our revolving credit facility. During the three months ended March 31, 2020, we borrowed $400.0 million under our revolving credit facility, paid cash dividends of $50.1 million and incurred capital expenditures of $43.2 million. These net inflows were the primary factors in the increase in our cash balance from December 31, 2019 to March 31, 2020.</w:t>
      </w:r>
    </w:p>
    <w:p>
      <w:pPr>
        <w:spacing w:after="0" w:line="14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for the remainder of 2020, and our board of directors will consider a future dividend as permitted by our credit agreement. Our credit facility amendment described below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41"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We anticipate investing in our operations during the remainder of 2020 by spending between $90 million and $115 million in capital expenditures, which primarily includes minimal ongoing maintenance capital of our current facilities, the expansion of the guest rooms and convention space at Gaylord Palms and a rooms renovation at Gaylord National.</w:t>
      </w:r>
    </w:p>
    <w:p>
      <w:pPr>
        <w:spacing w:after="0" w:line="108"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believe that our cash on hand will be adequate to fund our general short-term commitments, as well as: (i) current operating expenses, (ii) interest expense on long-term debt obligations, and (iii) financing lease and operating lease obligations until our assets are able to reopen. If our existing cash were inadequate to fund such items, we could draw on our credit facility, subject to the satisfaction of provisions of the credit facility, as amended. While our assets are closed, we estimate that our monthly cash needs will be approximately $40 million to $50 million, which includes the Gaylord Rockies joint venture’s operating costs and debt service fully consolidated.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outstanding principal debt agreements are described below.</w:t>
      </w:r>
    </w:p>
    <w:p>
      <w:pPr>
        <w:spacing w:after="0" w:line="185"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At March 31, 2020, we were in compliance with all covenants related to our outstanding debt, and our lender had waived the covenant in our credit facility that prohibits closure of the Gaylord Hotels properties for longer than a specified period of time.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198"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October 31, 2019, we entered into a Sixth Amended and Restated Credit Agreement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On April 23, 2020, we entered into Amendment No. 1 (the “Amendment”) to the Credit Agreement among the same parties, as discussed below.</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 Assets of the Gaylord Rockies joint venture are not subject to the liens of our credit facility.</w:t>
      </w:r>
    </w:p>
    <w:p>
      <w:pPr>
        <w:spacing w:after="0" w:line="16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1" w:lineRule="exact"/>
        <w:rPr>
          <w:sz w:val="20"/>
          <w:szCs w:val="20"/>
          <w:color w:val="auto"/>
        </w:rPr>
      </w:pPr>
    </w:p>
    <w:p>
      <w:pPr>
        <w:ind w:left="720" w:right="45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43"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3"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Amendment provides for a waiver of the foregoing financial covenants through March 31, 2021 and ending on April 1, 2021 (the “Temporary Waiver Period”). In addition, the Amendment contains a covenant that we must maintain unrestricted liquidity (in the form of unrestricted cash on hand or undrawn availability under the Revolver) of at least $100 million.</w:t>
      </w:r>
    </w:p>
    <w:p>
      <w:pPr>
        <w:spacing w:after="0" w:line="146"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We may elect to terminate the Temporary Waiver Period prior to expiration. Upon expiration or termination of the Temporary Waiver Period, we will calculate compliance with the financial covenants in the Credit Agreement using a designated annualized calculation based on our most recently completed fiscal quarter or quarters, as applicable. Pursuant to the Amendment, we are required to use any proceeds from borrowings drawn during the Temporary Waiver Period to fund operating expenses, debt service of the Company and its subsidiaries, and permitted capital expenditures and investments.</w:t>
      </w:r>
    </w:p>
    <w:p>
      <w:pPr>
        <w:spacing w:after="0" w:line="165"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25" w:lineRule="exact"/>
        <w:rPr>
          <w:sz w:val="20"/>
          <w:szCs w:val="20"/>
          <w:color w:val="auto"/>
        </w:rPr>
      </w:pPr>
    </w:p>
    <w:p>
      <w:pPr>
        <w:ind w:left="60" w:right="239"/>
        <w:spacing w:after="0" w:line="272"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Pursuant to the Credit Agreement, we extended the maturity date of the Revolver to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2024, 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forth in the Credit Agreement. At March 31, 2020, the interest rate on the Revolver was LIBOR plus 1.55%. Pursuant to the Amendment, during the Temporary Waiver Period, the applicable margin for LIBOR-based loans under the Revolver is 1.95%. Principal is payable in full at maturity.</w:t>
      </w:r>
    </w:p>
    <w:p>
      <w:pPr>
        <w:spacing w:after="0" w:line="137"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At March 31, 2020, $400.0 million of borrowings were outstanding under the Revolver, and the lending banks had issued $0.9 million of letters of credit under the Credit Agreement, which left $299.1 million of availability under the Revolver (subject to the satisfaction of debt incurrence tests under the indentures governing our $400 million in aggregate principal amount of senior notes due 2023 (the “$400 Million 5% Senior Notes”) and our $700 million in aggregate principal amount of senior notes due 2027 (the “$700 Million 4.75% Senior Notes”), which we met at March 31, 2020.</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i w:val="1"/>
          <w:iCs w:val="1"/>
          <w:color w:val="auto"/>
        </w:rPr>
        <w:t xml:space="preserve">Term Loan A Facility. </w:t>
      </w:r>
      <w:r>
        <w:rPr>
          <w:rFonts w:ascii="Arial" w:cs="Arial" w:eastAsia="Arial" w:hAnsi="Arial"/>
          <w:sz w:val="16"/>
          <w:szCs w:val="16"/>
          <w:color w:val="auto"/>
        </w:rPr>
        <w:t>Pursuant to the Credit Agreement, the Term Loan A was increased from $200 million to $300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forth in the Credit Agreement. At March 31, 2020, the interest rate on the Term Loan A was LIBOR plus 1.50%. Pursuant to the Amendment, during the Temporary Waiver Period, the applicable margin for LIBOR-based loans under the Term Loan A is 1.90%. Amounts borrowed under the Term Loan A that are repaid or prepaid may not be reborrowed. Net proceeds from the increase in the Term Loan A pursuant to the Credit Agreement were approximately $94 million and, along with cash on hand, were used to repay $100 million of the outstanding indebtedness under the Term Loan B.</w:t>
      </w:r>
    </w:p>
    <w:p>
      <w:pPr>
        <w:spacing w:after="0" w:line="139"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Term Loan B Facility. </w:t>
      </w:r>
      <w:r>
        <w:rPr>
          <w:rFonts w:ascii="Arial" w:cs="Arial" w:eastAsia="Arial" w:hAnsi="Arial"/>
          <w:sz w:val="16"/>
          <w:szCs w:val="16"/>
          <w:color w:val="auto"/>
        </w:rPr>
        <w:t>The Term Loan B has a maturity date of May 11, 2024. The applicable interest rate margins for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the Term Loan B are, at our option, either (i) LIBOR plus 2.00% or (ii) a base rate as set forth in the Credit Agreement. At March 31, 2020,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fiscal year, there is Excess Cash Flow (as defined in the Credit Agreement), an additional principal amount is required. Amounts borrowed under the Term Loan B that are repaid or prepaid may not be reborrowed. The Credit Agreement did not change the maturity date or applicable margin on interest rates for the Term Loan B. At March 31, 2020, $385.0 million in borrowings were outstanding under the Term Loan B.</w:t>
      </w:r>
    </w:p>
    <w:p>
      <w:pPr>
        <w:spacing w:after="0" w:line="152"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i w:val="1"/>
          <w:iCs w:val="1"/>
          <w:color w:val="auto"/>
        </w:rPr>
        <w:t xml:space="preserve">$700 Million 4.75% Senior Notes. </w:t>
      </w:r>
      <w:r>
        <w:rPr>
          <w:rFonts w:ascii="Arial" w:cs="Arial" w:eastAsia="Arial" w:hAnsi="Arial"/>
          <w:sz w:val="17"/>
          <w:szCs w:val="17"/>
          <w:color w:val="auto"/>
        </w:rPr>
        <w:t>In September 2019, the Operating Partnership and Finco completed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 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3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net proceeds from the issuance of the $500 Million 4.75% Senior Notes totaled approximately $493 million, after deducting the initial purchasers’ discounts, commissions and offering expenses. We used substantially all of these proceeds to tender and redeem our previous $350 Million 5% Senior Notes and to repay a portion of the amounts outstanding under the Revolver.</w:t>
      </w:r>
    </w:p>
    <w:p>
      <w:pPr>
        <w:spacing w:after="0" w:line="160"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We used substantially all of these proceeds to repay a portion of the amounts outstanding under the Revolver.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1"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In connection with the issuance of the $700 Million 4.75% Senior Notes, we entered into a registration rights agreement that requires us to complete a registered offer to exchange the $700 Million 4.75% Senior Notes for registered notes with substantially identical terms as the $700 Million 4.75% Senior Notes on or before September 18, 2020.</w:t>
      </w:r>
    </w:p>
    <w:p>
      <w:pPr>
        <w:spacing w:after="0" w:line="108"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i w:val="1"/>
          <w:iCs w:val="1"/>
          <w:color w:val="auto"/>
        </w:rPr>
        <w:t xml:space="preserve">$400 Million 5% Senior Notes. </w:t>
      </w:r>
      <w:r>
        <w:rPr>
          <w:rFonts w:ascii="Arial" w:cs="Arial" w:eastAsia="Arial" w:hAnsi="Arial"/>
          <w:sz w:val="16"/>
          <w:szCs w:val="16"/>
          <w:color w:val="auto"/>
        </w:rPr>
        <w:t>In 2015, the Operating Partnership and Finco completed the private placement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$400.0 million in aggregate principal amount of senior notes due 2023, which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new $700 million 4.75%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27"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The $400 Million 5% Senior Notes are redeemable, in whole or in part, at a redemption price expressed as a percentage of the principal amount thereof, which percentage is 101.25% and 100.00% beginning on April 15 of 2020 and 2021, respectively, plus accrued and unpaid interest thereon to, but not including, the redemption date.</w:t>
      </w:r>
    </w:p>
    <w:p>
      <w:pPr>
        <w:spacing w:after="0" w:line="138"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43"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i w:val="1"/>
          <w:iCs w:val="1"/>
          <w:color w:val="auto"/>
        </w:rPr>
        <w:t>$800 Million Term Loan (Gaylord Rockies Joint Venture)</w:t>
      </w:r>
      <w:r>
        <w:rPr>
          <w:rFonts w:ascii="Arial" w:cs="Arial" w:eastAsia="Arial" w:hAnsi="Arial"/>
          <w:sz w:val="16"/>
          <w:szCs w:val="16"/>
          <w:color w:val="auto"/>
        </w:rPr>
        <w:t>. On July 2, 2019, Aurora Convention Center Hotel, LLC and</w:t>
      </w:r>
      <w:r>
        <w:rPr>
          <w:rFonts w:ascii="Arial" w:cs="Arial" w:eastAsia="Arial" w:hAnsi="Arial"/>
          <w:sz w:val="16"/>
          <w:szCs w:val="16"/>
          <w:i w:val="1"/>
          <w:iCs w:val="1"/>
          <w:color w:val="auto"/>
        </w:rPr>
        <w:t xml:space="preserve"> </w:t>
      </w:r>
      <w:r>
        <w:rPr>
          <w:rFonts w:ascii="Arial" w:cs="Arial" w:eastAsia="Arial" w:hAnsi="Arial"/>
          <w:sz w:val="16"/>
          <w:szCs w:val="16"/>
          <w:color w:val="auto"/>
        </w:rPr>
        <w:t>Aurora Convention Center Hotel Lessee, LLC,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68"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We received a distribution of approximately $153 million, which was used to repay a portion of the amounts outstanding under the Revolver.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We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6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four wholly-owned Gaylord Hotels, we are subject to certain debt limitations described below.</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7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We enter into commitments under letters of credit, primarily for the purpose of securing our deductible obligations with our insurers, and lending banks under our Credit Agreement had issued $0.9 million of letters of credit at March 31, 2020. Except as set forth in this paragraph,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8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March 31, 2020, including long-term debt and operating and capital lease commitments (amounts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Total amounts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Payment due by Period</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4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Less than</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0"/>
                <w:szCs w:val="10"/>
                <w:color w:val="auto"/>
              </w:rPr>
            </w:pPr>
          </w:p>
        </w:tc>
        <w:tc>
          <w:tcPr>
            <w:tcW w:w="82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committed</w:t>
            </w: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1 year</w:t>
            </w:r>
          </w:p>
        </w:tc>
        <w:tc>
          <w:tcPr>
            <w:tcW w:w="8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(1) (2)</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$ 2,985,000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$ 10,000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$ 2,270,000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572,754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w w:val="93"/>
              </w:rPr>
              <w:t>Construction commitments (4)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60,488</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09"/>
        </w:trPr>
        <w:tc>
          <w:tcPr>
            <w:tcW w:w="3140" w:type="dxa"/>
            <w:vAlign w:val="bottom"/>
            <w:gridSpan w:val="3"/>
          </w:tcPr>
          <w:p>
            <w:pPr>
              <w:ind w:left="880"/>
              <w:spacing w:after="0"/>
              <w:rPr>
                <w:sz w:val="20"/>
                <w:szCs w:val="20"/>
                <w:color w:val="auto"/>
              </w:rPr>
            </w:pPr>
            <w:r>
              <w:rPr>
                <w:rFonts w:ascii="Arial" w:cs="Arial" w:eastAsia="Arial" w:hAnsi="Arial"/>
                <w:sz w:val="18"/>
                <w:szCs w:val="18"/>
                <w:color w:val="auto"/>
                <w:w w:val="99"/>
              </w:rPr>
              <w:t>Total contractual obligations</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$ 3,662,981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73,274</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$ 24,891</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$ 2,284,250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1,280,566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139" w:hanging="330"/>
        <w:spacing w:after="0" w:line="31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Long-term debt commitments do not include approximately $536.6 million in interest payments projected to be due in future years (less than 1 year – $115.4 million; 1-3 years – $230.0 million; 3-5 years – $106.6 million; more than five years – $84.5 million) based on the stated interest rates on our fixed-rate debt and the rates in effect at March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19"/>
        <w:spacing w:after="0" w:line="257" w:lineRule="auto"/>
        <w:rPr>
          <w:sz w:val="20"/>
          <w:szCs w:val="20"/>
          <w:color w:val="auto"/>
        </w:rPr>
      </w:pPr>
      <w:r>
        <w:rPr>
          <w:rFonts w:ascii="Arial" w:cs="Arial" w:eastAsia="Arial" w:hAnsi="Arial"/>
          <w:sz w:val="18"/>
          <w:szCs w:val="18"/>
          <w:color w:val="auto"/>
        </w:rPr>
        <w:t>31, 2020 for our variable-rate debt, including the impact of interest rate swaps.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2019 for a discussion of the interest we paid during the fiscal years 2019, 2018 and 2017.</w:t>
      </w:r>
    </w:p>
    <w:p>
      <w:pPr>
        <w:spacing w:after="0" w:line="161" w:lineRule="exact"/>
        <w:rPr>
          <w:sz w:val="20"/>
          <w:szCs w:val="20"/>
          <w:color w:val="auto"/>
        </w:rPr>
      </w:pPr>
    </w:p>
    <w:p>
      <w:pPr>
        <w:ind w:left="380" w:right="41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commitments due in 3-5 years includes $800.0 million of the Gaylord Rockies Loan for the Gaylord Rockies joint venture.</w:t>
      </w:r>
    </w:p>
    <w:p>
      <w:pPr>
        <w:spacing w:after="0" w:line="129" w:lineRule="exact"/>
        <w:rPr>
          <w:rFonts w:ascii="Arial" w:cs="Arial" w:eastAsia="Arial" w:hAnsi="Arial"/>
          <w:sz w:val="18"/>
          <w:szCs w:val="18"/>
          <w:color w:val="auto"/>
        </w:rPr>
      </w:pPr>
    </w:p>
    <w:p>
      <w:pPr>
        <w:ind w:left="380" w:right="179" w:hanging="330"/>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operating lease commitments of $603.2 million includes the 75-year operating lease agreement we entered into during 1999 for 65.3 acres of land located in Osceola County, Florida where Gaylord Palms is located, which we may extend until January 2101.</w:t>
      </w:r>
    </w:p>
    <w:p>
      <w:pPr>
        <w:spacing w:after="0" w:line="143" w:lineRule="exact"/>
        <w:rPr>
          <w:rFonts w:ascii="Arial" w:cs="Arial" w:eastAsia="Arial" w:hAnsi="Arial"/>
          <w:sz w:val="18"/>
          <w:szCs w:val="18"/>
          <w:color w:val="auto"/>
        </w:rPr>
      </w:pPr>
    </w:p>
    <w:p>
      <w:pPr>
        <w:ind w:left="380" w:right="139" w:hanging="330"/>
        <w:spacing w:after="0" w:line="270"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however, such funding has been suspended for the periods from March 2020 through August 2020 as a result of the COVID-19 pandemic. At March 31, 2020, $60.5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54"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9 and Note 10 to the consolidated financial statements included in our Annual Report on Form 10-K for the year ended December 31, 2019 for further discussion related to these obligations. In addition, the timing of the expected cash flows related to our funding obligation in the joint venture described in Note 13, “Commitments and Contingencies,” to the condensed consolidated financial statements included herein is not contractually determined. Therefore, this obligation has been excluded from the contractual obligations table above.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derivative financial instruments, income taxes, pension and postretirement benefits other than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2019. Other than our January 1, 2020 adoption of Financial Accounting Standards Board Accounting Standards Update No. 2016-13, “</w:t>
      </w:r>
      <w:r>
        <w:rPr>
          <w:rFonts w:ascii="Arial" w:cs="Arial" w:eastAsia="Arial" w:hAnsi="Arial"/>
          <w:sz w:val="16"/>
          <w:szCs w:val="16"/>
          <w:i w:val="1"/>
          <w:iCs w:val="1"/>
          <w:color w:val="auto"/>
        </w:rPr>
        <w:t>Financial Instruments – Credit Losses –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on Financial Instruments</w:t>
      </w:r>
      <w:r>
        <w:rPr>
          <w:rFonts w:ascii="Arial" w:cs="Arial" w:eastAsia="Arial" w:hAnsi="Arial"/>
          <w:sz w:val="16"/>
          <w:szCs w:val="16"/>
          <w:color w:val="auto"/>
        </w:rPr>
        <w:t>,” as discussed in Note 1, “Basis of Presentation,” to the condensed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included herein, there were no newly identified critical accounting policies in the first three months of 2020, nor were there any material changes to the critical accounting policies and estimates discussed in our Annual Report on Form 10-K for the year ended December 31,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85"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color w:val="auto"/>
        </w:rPr>
        <w:t>At March 31, 2020, borrowings outstanding under the Revolver bore interest at an annual rate of LIBOR plus 1.55%, subject to adjustment as described in the Credit Agreement. If LIBOR were to increase by 100 basis points, our annual interest cost on the $400.0 million in borrowings outstanding under the Revolver at March 31, 2020 would increase by approximately $4.0 million.</w:t>
      </w:r>
    </w:p>
    <w:p>
      <w:pPr>
        <w:spacing w:after="0" w:line="160"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At March 31, 2020, borrowings outstanding under our Term Loan A bore interest at an annual rate of LIBOR plus 1.50%, subject to adjustment as described in the Credit Agreement. If LIBOR were to increase by 100 basis points, our annual interest cost on the $300.0 million in borrowings outstanding under our Term Loan A at March 31, 2020 would increase by approximately $3.0 million.</w:t>
      </w:r>
    </w:p>
    <w:p>
      <w:pPr>
        <w:spacing w:after="0" w:line="146"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At March 31, 2020, borrowings outstanding under our Term Loan B bore interest at an annual rate of LIBOR plus 2.00%, subject to adjustment as described in the Credit Agreement. We have hedged our interest rate exposure on $350.0 million of borrowings under the Term Loan B with interest rate swaps that fix the LIBOR portion of interest payments through May 2023. If LIBOR were to increase by 100 basis points, our annual interest cost on the $35.0 million in borrowings outstanding under our Term Loan B that are not hedged at March 31, 2020 would increase by approximately $0.4 million.</w:t>
      </w:r>
    </w:p>
    <w:p>
      <w:pPr>
        <w:spacing w:after="0" w:line="121"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At March 31, 2020, borrowings outstanding under the Gaylord Rockies Loan bore interest at an annual rate of LIBOR plus 2.50%. The Gaylord Rockies joint venture has hedged its interest rate exposure with an interest rate swap that fixes the LIBOR portion of interest payments through August 2022. If the Gaylord Rockies joint venture does not enter into an additional interest rate swap, the joint venture will be subject to interest rate risk from August 2022 through the maturity date of July 2023.</w:t>
      </w:r>
    </w:p>
    <w:p>
      <w:pPr>
        <w:spacing w:after="0" w:line="161"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Certain of our outstanding cash balances are occasionally invested overnight with high credit quality financial institutions. We do not have significant exposure to changing interest rates on invested cash at March 31, 2020. As a result, the interest rate market risk implicit in these investments at March 31, 2020, if any, is low.</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8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March 31, 2020, the value of the investments in the pension plan was $54.9 million, and an immediate 10% decrease in this value would have reduced the value of the investments in the pension plan by approximately $5.5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Except as otherwise described herein, there have been no material changes from the risk factors disclosed in Part I, Item 1A, “Risk Factors,” of our Annual Report on Form 10-K for the fiscal year ended December 31, 2019.</w:t>
      </w:r>
    </w:p>
    <w:p>
      <w:pPr>
        <w:spacing w:after="0" w:line="10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b w:val="1"/>
          <w:bCs w:val="1"/>
          <w:i w:val="1"/>
          <w:iCs w:val="1"/>
          <w:color w:val="auto"/>
        </w:rPr>
        <w:t>The novel coronavirus (COVID-19) pandemic has had and is expected to continue to have a material adverse effect on our financial condition, results of operations, and our ability to make distributions to our shareholders. Depending on its length and severity, the COVID-19 pandemic may also have a material adverse effect on our access to financial markets and our ability to service our indebtedness</w:t>
      </w:r>
      <w:r>
        <w:rPr>
          <w:rFonts w:ascii="Arial" w:cs="Arial" w:eastAsia="Arial" w:hAnsi="Arial"/>
          <w:sz w:val="18"/>
          <w:szCs w:val="18"/>
          <w:b w:val="1"/>
          <w:bCs w:val="1"/>
          <w:color w:val="auto"/>
        </w:rPr>
        <w:t>.</w:t>
      </w:r>
    </w:p>
    <w:p>
      <w:pPr>
        <w:spacing w:after="0" w:line="160"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In March 2020, the World Health Organization declared COVID-19 to be a pandemic. In an effort to contain and mitigate the spread of COVID-19, many countries, including the United States, have imposed unprecedented restrictions on travel, group gatherings and non-essential activities, including orders and guidance issued by U.S. federal, state and local governmental authorities, such as “social distancing” guidance and Safer at Home orders. There have also been significant business closures and a substantial reduction in economic activity in the United States as a result of the COVID-19 pandemic. Significant uncertainty remains as to the potential impact of the COVID-19 pandemic on the U.S. economy as a whole, our businesses, and the lodging and entertainment industries in particular.</w:t>
      </w:r>
    </w:p>
    <w:p>
      <w:pPr>
        <w:spacing w:after="0" w:line="126"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In response to the COVID-19 pandemic, on March 17, 2020, we completed a $400 million draw from our existing $700 million revolving line of credit as a precaution to ensure funds are available to meet our obligations for a sustained period of time during the COVID-19 pandemic. By March 24, 2020, we, working with our hotel manager, Marriott, had started suspending operations at our Gaylord Hotels properties and also suspended operations at substantially all of our entertainment assets. In addition, following the payment of our first quarter 2020 dividend on April 15, 2020 to stockholders of record on March 31, 2020, we suspended our regular quarterly dividend payments for the remainder of 2020, and any future dividend will be determined by our board of directors as permitted by our Credit Agreement. Further, we deferred substantially all non-essential capital projects, including our previously announced expansion at Gaylord Rockies, which was scheduled to begin in second quarter 2020.</w:t>
      </w:r>
    </w:p>
    <w:p>
      <w:pPr>
        <w:spacing w:after="0" w:line="14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While we were successful in amending our Credit Agreement to obtain waivers of the financial covenants, as described under “Management’s Discussion and Analysis of Financial Condition and Results of Operations – Liquidity and Capital Resources – Principal Debt Agreements,” the Amendment also increased the interest rates under our Revolver and Term Loan A, and imposed additional restrictions on debt, investments, dividends, share repurchases and capital expenditures, and included a minimum liquidity requirement, which will increase our interest costs and impose constraints on the manner in which we do business.</w:t>
      </w:r>
    </w:p>
    <w:p>
      <w:pPr>
        <w:spacing w:after="0" w:line="16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material adverse effect on our businesses will continue while our assets remain closed, if not longer. Although we have taken steps, including those described above, to mitigate the impact of the COVID-19 pandemic on our businesses, we cannot predict the full extent and duration of the effects of the COVID-19 pandemic on our businesses. The longer and more severe the pandemic, the greater the material adverse effect on our financial condition, our results of operations, and our ability to make distributions to our shareholders. Further, depending on its duration and severity, the COVID-19 pandemic may have a material adverse effect on our access to financial markets and our ability to service our indebtedness.</w:t>
      </w:r>
    </w:p>
    <w:p>
      <w:pPr>
        <w:spacing w:after="0" w:line="124"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We also cannot predict how soon we will be able to reopen our Gaylord Hotels properties or our entertainment assets when the COVID-19 pandemic subsides, as our ability to reopen and to resume normal operations will depend in part 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the actions of a number of governmental authorities over which we have no control. It is possible that modified social distancing requirements or recommendations will alter the way we do business after we reopen, possibly for an extended period of time. Such changes may result in higher costs and lower profit margins at our assets. Moreover, once restrictions are relaxed or lifted, it is unclear whether consumer demand for convention center resorts and country music entertainment experiences will return, in part, because we cannot predict the levels of consumer confidence in the safety of travel and group gatherings following the COVID-19 pandemic. We also cannot predict the pace of recovery following the reopening of our Gaylord Hotels properties, which may be affected by adverse economic conditions, including job losses, group customers’ budget constraints, debt loads and other factors. For our managed assets, we will rely on Marriott to safely reopen, to operate these assets in a matter consistent with their obligations under their management agreements with us and to increase business levels at our properties, and we cannot assure you that Marriott will be successful in doing so.</w:t>
      </w:r>
    </w:p>
    <w:p>
      <w:pPr>
        <w:spacing w:after="0" w:line="141"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The COVID-19 pandemic has also resulted in significant financial market volatility and uncertainty, including on the market price of our common stock. A continuation or worsening of the levels of market disruption and volatility seen during the first and second quarters of 2020 could have a further adverse effect on the market price of our common stock.</w:t>
      </w:r>
    </w:p>
    <w:p>
      <w:pPr>
        <w:spacing w:after="0" w:line="10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could be required to refinance our debt before it matures and there is no assurance that we will be able to refinance our debt on acceptable terms.</w:t>
      </w:r>
    </w:p>
    <w:p>
      <w:pPr>
        <w:spacing w:after="0" w:line="130"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Our ability to refinance each of our agreements governing our indebtedness on acceptable terms will be dependent on a number of factors, including our degree of leverage, the value of our assets, borrowing restrictions which may be imposed by lenders and conditions in the credit markets at the time we refinance. In addition, although we have been successful in negotiating an amendment to our Credit Agreement, which waives the financial covenants imposed by the Credit Agreement through March 31, 2021 and ending April 1, 2021, we may be unsuccessful in negotiating any further amendments or modifications to the agreements governing our indebtedness as we may deem necessary in response to the COVID-19 pandemic. To the extent the COVID-19 pandemic continues or our business levels do not recover to pre-pandemic levels or we are otherwise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4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cash distributions are not guaranteed and may fluctuate, and we have suspended our regularly quarterly dividend for the remainder of 2020.</w:t>
      </w:r>
    </w:p>
    <w:p>
      <w:pPr>
        <w:spacing w:after="0" w:line="130"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Generally,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has previously approved a dividend policy pursuant to which we will pay a quarterly cash dividend based on an annualized amount of at least 50% of adjusted funds from operations (as defined by us) less maintenance capital expenditures or 100% of REIT taxable income on an annual basis, whichever is greater. As part of the actions taken to preserve liquidity in light of the COVID-19 pandemic, our board of directors suspended our regular monthly dividend payments for the remainder of 2020, and our board of directors will consider a future dividend as permitted by our credit agreement, which currently permits payment of dividends as necessary to maintain our REIT status and permits us to pay a dividend of $0.01 per share each quarter. The dividend policy may be altered at any time by our board of directors (as otherwise permitted by our credit agreement) and certain provisions of our agreements governing our other indebtedness may prohibit us from paying dividends in accordance with the prior policy. Consequently, our distribution levels may fluctuate.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9"/>
          </w:tcPr>
          <w:p>
            <w:pPr>
              <w:ind w:left="2020"/>
              <w:spacing w:after="0"/>
              <w:rPr>
                <w:sz w:val="20"/>
                <w:szCs w:val="20"/>
                <w:color w:val="auto"/>
              </w:rPr>
            </w:pPr>
            <w:r>
              <w:rPr>
                <w:rFonts w:ascii="Arial" w:cs="Arial" w:eastAsia="Arial" w:hAnsi="Arial"/>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4"/>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Amended and Restated Certificate of Incorporation of Ryman Hospitality Properties, Inc.</w:t>
              </w:r>
            </w:hyperlink>
          </w:p>
        </w:tc>
        <w:tc>
          <w:tcPr>
            <w:tcW w:w="100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1"/>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October 1, 2012).</w:t>
              </w:r>
            </w:hyperlink>
          </w:p>
        </w:tc>
        <w:tc>
          <w:tcPr>
            <w:tcW w:w="5460" w:type="dxa"/>
            <w:vAlign w:val="bottom"/>
            <w:tcBorders>
              <w:top w:val="single" w:sz="8" w:color="0000EE"/>
            </w:tcBorders>
            <w:gridSpan w:val="3"/>
          </w:tcPr>
          <w:p>
            <w:pPr>
              <w:spacing w:after="0"/>
              <w:rPr>
                <w:sz w:val="17"/>
                <w:szCs w:val="17"/>
                <w:color w:val="auto"/>
              </w:rPr>
            </w:pPr>
          </w:p>
        </w:tc>
        <w:tc>
          <w:tcPr>
            <w:tcW w:w="700" w:type="dxa"/>
            <w:vAlign w:val="bottom"/>
            <w:gridSpan w:val="6"/>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140" w:type="dxa"/>
            <w:vAlign w:val="bottom"/>
            <w:tcBorders>
              <w:bottom w:val="single" w:sz="8" w:color="0000EE"/>
            </w:tcBorders>
            <w:gridSpan w:val="8"/>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Amended and Restated Bylaws of Ryman Hospitality Properties, Inc. (incorporated by reference to</w:t>
              </w:r>
            </w:hyperlink>
          </w:p>
        </w:tc>
        <w:tc>
          <w:tcPr>
            <w:tcW w:w="300" w:type="dxa"/>
            <w:vAlign w:val="bottom"/>
            <w:gridSpan w:val="3"/>
          </w:tcPr>
          <w:p>
            <w:pPr>
              <w:spacing w:after="0"/>
              <w:rPr>
                <w:sz w:val="24"/>
                <w:szCs w:val="24"/>
                <w:color w:val="auto"/>
              </w:rPr>
            </w:pPr>
          </w:p>
        </w:tc>
      </w:tr>
      <w:tr>
        <w:trPr>
          <w:trHeight w:val="237"/>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1"/>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Exhibit 3.2 to the Company’s Current Report on Form 8-K filed October 1, 2012).</w:t>
              </w:r>
            </w:hyperlink>
          </w:p>
        </w:tc>
      </w:tr>
      <w:tr>
        <w:trPr>
          <w:trHeight w:val="391"/>
        </w:trPr>
        <w:tc>
          <w:tcPr>
            <w:tcW w:w="1240" w:type="dxa"/>
            <w:vAlign w:val="bottom"/>
          </w:tcPr>
          <w:p>
            <w:pPr>
              <w:ind w:left="4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6760" w:type="dxa"/>
            <w:vAlign w:val="bottom"/>
            <w:tcBorders>
              <w:bottom w:val="single" w:sz="8" w:color="0000EE"/>
            </w:tcBorders>
            <w:gridSpan w:val="6"/>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Amendment No. 1 to Sixth Amended Credit Agreement, dated April 23, 2020, among Ryman</w:t>
              </w:r>
            </w:hyperlink>
          </w:p>
        </w:tc>
        <w:tc>
          <w:tcPr>
            <w:tcW w:w="68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1"/>
          </w:tcPr>
          <w:p>
            <w:pPr>
              <w:spacing w:after="0" w:line="19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Hospitality Properties, Inc., as a guarantor, RHP Hotel Properties, LP, as borrower, certain other</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1"/>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subsidiaries of Ryman Hospitality Properties, Inc. party thereto, as guarantors, certain subsidiaries of</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Ryman Hospitality Properties, Inc. party thereto, as pledgors, the lenders party thereto and Wells Fargo</w:t>
              </w:r>
            </w:hyperlink>
          </w:p>
        </w:tc>
        <w:tc>
          <w:tcPr>
            <w:tcW w:w="20" w:type="dxa"/>
            <w:vAlign w:val="bottom"/>
          </w:tcPr>
          <w:p>
            <w:pPr>
              <w:spacing w:after="0"/>
              <w:rPr>
                <w:sz w:val="17"/>
                <w:szCs w:val="17"/>
                <w:color w:val="auto"/>
              </w:rPr>
            </w:pPr>
          </w:p>
        </w:tc>
      </w:tr>
      <w:tr>
        <w:trPr>
          <w:trHeight w:val="222"/>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40" w:type="dxa"/>
            <w:vAlign w:val="bottom"/>
            <w:gridSpan w:val="11"/>
          </w:tcPr>
          <w:p>
            <w:pPr>
              <w:spacing w:after="0"/>
              <w:rPr>
                <w:rFonts w:ascii="Arial" w:cs="Arial" w:eastAsia="Arial" w:hAnsi="Arial"/>
                <w:sz w:val="18"/>
                <w:szCs w:val="18"/>
                <w:u w:val="single" w:color="auto"/>
                <w:color w:val="0000EE"/>
                <w:w w:val="93"/>
              </w:rPr>
            </w:pPr>
            <w:hyperlink r:id="rId62">
              <w:r>
                <w:rPr>
                  <w:rFonts w:ascii="Arial" w:cs="Arial" w:eastAsia="Arial" w:hAnsi="Arial"/>
                  <w:sz w:val="18"/>
                  <w:szCs w:val="18"/>
                  <w:u w:val="single" w:color="auto"/>
                  <w:color w:val="0000EE"/>
                  <w:w w:val="93"/>
                </w:rPr>
                <w:t>Bank National Association, as administrative agent (incorporated by reference to Exhibit 10.1 to the</w:t>
              </w:r>
            </w:hyperlink>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1"/>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Company’s Current Report on Form 8-K filed April 24, 2020).</w:t>
              </w:r>
            </w:hyperlink>
          </w:p>
        </w:tc>
      </w:tr>
      <w:tr>
        <w:trPr>
          <w:trHeight w:val="432"/>
        </w:trPr>
        <w:tc>
          <w:tcPr>
            <w:tcW w:w="1240" w:type="dxa"/>
            <w:vAlign w:val="bottom"/>
          </w:tcPr>
          <w:p>
            <w:pPr>
              <w:ind w:left="48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440" w:type="dxa"/>
            <w:vAlign w:val="bottom"/>
            <w:gridSpan w:val="11"/>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Certification of Colin V. Reed pursuant to Section 302 of Sarbanes-Oxley Act of 2002.</w:t>
              </w:r>
            </w:hyperlink>
          </w:p>
        </w:tc>
      </w:tr>
      <w:tr>
        <w:trPr>
          <w:trHeight w:val="432"/>
        </w:trPr>
        <w:tc>
          <w:tcPr>
            <w:tcW w:w="1240" w:type="dxa"/>
            <w:vAlign w:val="bottom"/>
          </w:tcPr>
          <w:p>
            <w:pPr>
              <w:ind w:left="4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440" w:type="dxa"/>
            <w:vAlign w:val="bottom"/>
            <w:gridSpan w:val="11"/>
          </w:tcPr>
          <w:p>
            <w:pPr>
              <w:spacing w:after="0"/>
              <w:rPr>
                <w:rFonts w:ascii="Arial" w:cs="Arial" w:eastAsia="Arial" w:hAnsi="Arial"/>
                <w:sz w:val="18"/>
                <w:szCs w:val="18"/>
                <w:color w:val="0000EE"/>
              </w:rPr>
            </w:pPr>
            <w:hyperlink w:anchor="page56">
              <w:r>
                <w:rPr>
                  <w:rFonts w:ascii="Arial" w:cs="Arial" w:eastAsia="Arial" w:hAnsi="Arial"/>
                  <w:sz w:val="18"/>
                  <w:szCs w:val="18"/>
                  <w:u w:val="single" w:color="auto"/>
                  <w:color w:val="0000EE"/>
                </w:rPr>
                <w:t>Certification of Mark Fioravanti pursuant to Section 302 of Sarbanes-Oxley Act of 2002</w:t>
              </w:r>
              <w:r>
                <w:rPr>
                  <w:rFonts w:ascii="Arial" w:cs="Arial" w:eastAsia="Arial" w:hAnsi="Arial"/>
                  <w:sz w:val="18"/>
                  <w:szCs w:val="18"/>
                  <w:color w:val="0000EE"/>
                </w:rPr>
                <w:t>.</w:t>
              </w:r>
            </w:hyperlink>
          </w:p>
        </w:tc>
      </w:tr>
      <w:tr>
        <w:trPr>
          <w:trHeight w:val="391"/>
        </w:trPr>
        <w:tc>
          <w:tcPr>
            <w:tcW w:w="1240" w:type="dxa"/>
            <w:vAlign w:val="bottom"/>
          </w:tcPr>
          <w:p>
            <w:pPr>
              <w:ind w:left="4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440" w:type="dxa"/>
            <w:vAlign w:val="bottom"/>
            <w:gridSpan w:val="11"/>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Certification of Colin V. Reed and Mark Fioravanti pursuant to 18 U.S.C. Section 1350, as adopted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pursuant to Section 906 of Sarbanes-Oxley Act of 2002.</w:t>
              </w:r>
            </w:hyperlink>
          </w:p>
        </w:tc>
        <w:tc>
          <w:tcPr>
            <w:tcW w:w="30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r>
      <w:tr>
        <w:trPr>
          <w:trHeight w:val="438"/>
        </w:trPr>
        <w:tc>
          <w:tcPr>
            <w:tcW w:w="1240" w:type="dxa"/>
            <w:vAlign w:val="bottom"/>
          </w:tcPr>
          <w:p>
            <w:pPr>
              <w:ind w:left="4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w w:val="93"/>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w w:val="92"/>
              </w:rPr>
              <w:t>the quarterly period ended March 31, 2020, formatted in Inline XBRL (eXtensible Business Reporting</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rPr>
              <w:t>Language): (i) Condensed Consolidated Balance Sheets (unaudited) at March 31, 2020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w w:val="96"/>
              </w:rPr>
              <w:t>December 31, 2019, (ii) Condensed Consolidated Statements of Operations and Comprehensive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rPr>
              <w:t>Income (unaudited) for the three months ended March 31, 2020 and 2019, (iii) Condensed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w w:val="92"/>
              </w:rPr>
              <w:t>Consolidated Statements of Cash Flows (unaudited) for the three months ended March 31, 2020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w w:val="97"/>
              </w:rPr>
              <w:t>2019, (iv) Condensed Consolidated Statements of Stockholders’ Equity (unaudited) for the three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w w:val="99"/>
              </w:rPr>
              <w:t>months ended March 31, 2020 and 2019, and (v) Notes to Condensed Consolidated Financial</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rPr>
              <w:t>Statements (unaudited).</w:t>
            </w:r>
          </w:p>
        </w:tc>
      </w:tr>
      <w:tr>
        <w:trPr>
          <w:trHeight w:val="432"/>
        </w:trPr>
        <w:tc>
          <w:tcPr>
            <w:tcW w:w="1240" w:type="dxa"/>
            <w:vAlign w:val="bottom"/>
          </w:tcPr>
          <w:p>
            <w:pPr>
              <w:ind w:left="48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44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7, 2020</w:t>
            </w: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By:/s/ Colin V. Reed</w:t>
            </w:r>
          </w:p>
        </w:tc>
      </w:tr>
      <w:tr>
        <w:trPr>
          <w:trHeight w:val="195"/>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By:/s/ Mark Fioravanti</w:t>
            </w:r>
          </w:p>
        </w:tc>
      </w:tr>
      <w:tr>
        <w:trPr>
          <w:trHeight w:val="195"/>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By:/s/ Jennifer Hutcheson</w:t>
            </w:r>
          </w:p>
        </w:tc>
      </w:tr>
      <w:tr>
        <w:trPr>
          <w:trHeight w:val="195"/>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Executive Vice President, Corporate</w:t>
            </w:r>
          </w:p>
        </w:tc>
      </w:tr>
      <w:tr>
        <w:trPr>
          <w:trHeight w:val="230"/>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20" w:firstLine="656"/>
        <w:spacing w:after="0" w:line="286" w:lineRule="auto"/>
        <w:tabs>
          <w:tab w:leader="none" w:pos="12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38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80" w:firstLine="656"/>
        <w:spacing w:after="0" w:line="263"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983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20" w:firstLine="656"/>
        <w:spacing w:after="0" w:line="311" w:lineRule="auto"/>
        <w:tabs>
          <w:tab w:leader="none" w:pos="1328"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40" w:firstLine="656"/>
        <w:spacing w:after="0" w:line="286" w:lineRule="auto"/>
        <w:tabs>
          <w:tab w:leader="none" w:pos="129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80" w:firstLine="8"/>
        <w:spacing w:after="0" w:line="263" w:lineRule="auto"/>
        <w:tabs>
          <w:tab w:leader="none" w:pos="6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60" w:firstLine="656"/>
        <w:spacing w:after="0" w:line="263" w:lineRule="auto"/>
        <w:tabs>
          <w:tab w:leader="none" w:pos="131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80" w:firstLine="656"/>
        <w:spacing w:after="0" w:line="277" w:lineRule="auto"/>
        <w:tabs>
          <w:tab w:leader="none" w:pos="128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2459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March 31, 2020, as filed with the Securities and Exchange Commission on the date hereof (the "Report"), each of the undersigned certifies, pursuant to 18 U.S.C. § 1350, as adopted pursuant to §906 of the Sarbanes-Oxley Act of 2002, that:</w:t>
      </w:r>
    </w:p>
    <w:p>
      <w:pPr>
        <w:spacing w:after="0" w:line="165" w:lineRule="exact"/>
        <w:rPr>
          <w:sz w:val="20"/>
          <w:szCs w:val="20"/>
          <w:color w:val="auto"/>
        </w:rPr>
      </w:pPr>
    </w:p>
    <w:p>
      <w:pPr>
        <w:ind w:left="1260" w:hanging="604"/>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240" w:firstLine="656"/>
        <w:spacing w:after="0" w:line="277" w:lineRule="auto"/>
        <w:tabs>
          <w:tab w:leader="none" w:pos="1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May 7, 2020</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May 7, 2020</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upperLetter"/>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60" Type="http://schemas.openxmlformats.org/officeDocument/2006/relationships/hyperlink" Target="http://www.sec.gov/Archives/edgar/data/1040829/000119312512410191/d419132dex31.htm" TargetMode="External"/><Relationship Id="rId61" Type="http://schemas.openxmlformats.org/officeDocument/2006/relationships/hyperlink" Target="http://www.sec.gov/Archives/edgar/data/1040829/000119312512410191/d419132dex32.htm" TargetMode="External"/><Relationship Id="rId62" Type="http://schemas.openxmlformats.org/officeDocument/2006/relationships/hyperlink" Target="http://www.sec.gov/Archives/edgar/data/1040829/000110465920050678/tm201662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2020-05-07T11:13:02Z</dcterms:created>
  <dcterms:modified xsi:type="dcterms:W3CDTF">2020-05-07T11:13:02Z</dcterms:modified>
</cp:coreProperties>
</file>